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1587526703"/>
        <w:docPartObj>
          <w:docPartGallery w:val="Cover Pages"/>
          <w:docPartUnique/>
        </w:docPartObj>
      </w:sdtPr>
      <w:sdtEndPr/>
      <w:sdtContent>
        <w:p w14:paraId="13D6ABC8" w14:textId="77777777" w:rsidR="00E91282" w:rsidRPr="0078531A" w:rsidRDefault="00E91282" w:rsidP="00DE6D70"/>
        <w:p w14:paraId="2D88DC11" w14:textId="23F691C3" w:rsidR="0078531A" w:rsidRDefault="0016441C" w:rsidP="00DE6D70">
          <w:r>
            <w:rPr>
              <w:noProof/>
              <w:lang w:eastAsia="lv-LV"/>
            </w:rPr>
            <mc:AlternateContent>
              <mc:Choice Requires="wps">
                <w:drawing>
                  <wp:anchor distT="45720" distB="45720" distL="114300" distR="114300" simplePos="0" relativeHeight="251658244" behindDoc="0" locked="0" layoutInCell="1" allowOverlap="1" wp14:anchorId="74705AD2" wp14:editId="17F4C357">
                    <wp:simplePos x="0" y="0"/>
                    <wp:positionH relativeFrom="column">
                      <wp:posOffset>508635</wp:posOffset>
                    </wp:positionH>
                    <wp:positionV relativeFrom="paragraph">
                      <wp:posOffset>7813675</wp:posOffset>
                    </wp:positionV>
                    <wp:extent cx="4804410" cy="814705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4410" cy="814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20C3F1" w14:textId="77777777" w:rsidR="00AE46CA" w:rsidRPr="0035319F" w:rsidRDefault="00AE46CA" w:rsidP="0035319F">
                                <w:pPr>
                                  <w:pStyle w:val="Subtitle"/>
                                  <w:ind w:firstLine="0"/>
                                  <w:jc w:val="left"/>
                                  <w:rPr>
                                    <w:color w:val="595959" w:themeColor="text1" w:themeTint="A6"/>
                                  </w:rPr>
                                </w:pPr>
                                <w:r w:rsidRPr="0035319F">
                                  <w:rPr>
                                    <w:color w:val="595959" w:themeColor="text1" w:themeTint="A6"/>
                                  </w:rPr>
                                  <w:t>3.PIELIKUMS</w:t>
                                </w:r>
                              </w:p>
                              <w:p w14:paraId="2809ED1D" w14:textId="77777777" w:rsidR="00AE46CA" w:rsidRPr="0035319F" w:rsidRDefault="00AE46CA" w:rsidP="0035319F">
                                <w:pPr>
                                  <w:pStyle w:val="Subtitle"/>
                                  <w:ind w:firstLine="0"/>
                                  <w:jc w:val="left"/>
                                  <w:rPr>
                                    <w:color w:val="595959" w:themeColor="text1" w:themeTint="A6"/>
                                  </w:rPr>
                                </w:pPr>
                                <w:r w:rsidRPr="0035319F">
                                  <w:rPr>
                                    <w:color w:val="595959" w:themeColor="text1" w:themeTint="A6"/>
                                  </w:rPr>
                                  <w:t>Informatīva</w:t>
                                </w:r>
                                <w:r>
                                  <w:rPr>
                                    <w:color w:val="595959" w:themeColor="text1" w:themeTint="A6"/>
                                  </w:rPr>
                                  <w:t>ja</w:t>
                                </w:r>
                                <w:r w:rsidR="002D05BC">
                                  <w:rPr>
                                    <w:color w:val="595959" w:themeColor="text1" w:themeTint="A6"/>
                                  </w:rPr>
                                  <w:t>m ziņojumam</w:t>
                                </w:r>
                                <w:r w:rsidRPr="0035319F">
                                  <w:rPr>
                                    <w:color w:val="595959" w:themeColor="text1" w:themeTint="A6"/>
                                  </w:rPr>
                                  <w:t xml:space="preserve"> „</w:t>
                                </w:r>
                                <w:r w:rsidR="002D05BC" w:rsidRPr="001D137E">
                                  <w:rPr>
                                    <w:szCs w:val="28"/>
                                  </w:rPr>
                                  <w:t>Par Viedās izaugsmes stratēģijas izstrādi</w:t>
                                </w:r>
                                <w:r w:rsidR="002D05BC">
                                  <w:rPr>
                                    <w:szCs w:val="28"/>
                                  </w:rPr>
                                  <w:t xml:space="preserve"> un specializācijas noteikšanu</w:t>
                                </w:r>
                                <w:r w:rsidRPr="0035319F">
                                  <w:rPr>
                                    <w:color w:val="595959" w:themeColor="text1" w:themeTint="A6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4705A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0.05pt;margin-top:615.25pt;width:378.3pt;height:64.15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" stroked="f">
                    <v:textbox style="mso-fit-shape-to-text:t">
                      <w:txbxContent>
                        <w:p w14:paraId="7420C3F1" w14:textId="77777777" w:rsidR="00AE46CA" w:rsidRPr="0035319F" w:rsidRDefault="00AE46CA" w:rsidP="0035319F">
                          <w:pPr>
                            <w:pStyle w:val="Subtitle"/>
                            <w:ind w:firstLine="0"/>
                            <w:jc w:val="left"/>
                            <w:rPr>
                              <w:color w:val="595959" w:themeColor="text1" w:themeTint="A6"/>
                            </w:rPr>
                          </w:pPr>
                          <w:r w:rsidRPr="0035319F">
                            <w:rPr>
                              <w:color w:val="595959" w:themeColor="text1" w:themeTint="A6"/>
                            </w:rPr>
                            <w:t>3.PIELIKUMS</w:t>
                          </w:r>
                        </w:p>
                        <w:p w14:paraId="2809ED1D" w14:textId="77777777" w:rsidR="00AE46CA" w:rsidRPr="0035319F" w:rsidRDefault="00AE46CA" w:rsidP="0035319F">
                          <w:pPr>
                            <w:pStyle w:val="Subtitle"/>
                            <w:ind w:firstLine="0"/>
                            <w:jc w:val="left"/>
                            <w:rPr>
                              <w:color w:val="595959" w:themeColor="text1" w:themeTint="A6"/>
                            </w:rPr>
                          </w:pPr>
                          <w:r w:rsidRPr="0035319F">
                            <w:rPr>
                              <w:color w:val="595959" w:themeColor="text1" w:themeTint="A6"/>
                            </w:rPr>
                            <w:t>Informatīva</w:t>
                          </w:r>
                          <w:r>
                            <w:rPr>
                              <w:color w:val="595959" w:themeColor="text1" w:themeTint="A6"/>
                            </w:rPr>
                            <w:t>ja</w:t>
                          </w:r>
                          <w:r w:rsidR="002D05BC">
                            <w:rPr>
                              <w:color w:val="595959" w:themeColor="text1" w:themeTint="A6"/>
                            </w:rPr>
                            <w:t>m ziņojumam</w:t>
                          </w:r>
                          <w:r w:rsidRPr="0035319F">
                            <w:rPr>
                              <w:color w:val="595959" w:themeColor="text1" w:themeTint="A6"/>
                            </w:rPr>
                            <w:t xml:space="preserve"> „</w:t>
                          </w:r>
                          <w:r w:rsidR="002D05BC" w:rsidRPr="001D137E">
                            <w:rPr>
                              <w:szCs w:val="28"/>
                            </w:rPr>
                            <w:t>Par Viedās izaugsmes stratēģijas izstrādi</w:t>
                          </w:r>
                          <w:r w:rsidR="002D05BC">
                            <w:rPr>
                              <w:szCs w:val="28"/>
                            </w:rPr>
                            <w:t xml:space="preserve"> un specializācijas noteikšanu</w:t>
                          </w:r>
                          <w:r w:rsidRPr="0035319F">
                            <w:rPr>
                              <w:color w:val="595959" w:themeColor="text1" w:themeTint="A6"/>
                            </w:rPr>
                            <w:t>”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  <w:lang w:eastAsia="lv-LV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155922ED" wp14:editId="1572D15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602730" cy="715581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602730" cy="715581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104BE46F" w14:textId="77777777" w:rsidR="00AE46CA" w:rsidRPr="008813A0" w:rsidRDefault="0016441C" w:rsidP="007E3CC3">
                                  <w:pPr>
                                    <w:pStyle w:val="Title"/>
                                    <w:ind w:right="1996" w:firstLine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Title"/>
                                      <w:tag w:val=""/>
                                      <w:id w:val="852382373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AE46CA">
                                        <w:rPr>
                                          <w:color w:val="FFFFFF" w:themeColor="background1"/>
                                          <w:lang w:val="en-GB"/>
                                        </w:rPr>
                                        <w:t>UZŅĒMĒJU APTAUJAS REZULTĀTI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55922ED" id="Group 125" o:spid="_x0000_s1027" style="position:absolute;left:0;text-align:left;margin-left:0;margin-top:0;width:519.9pt;height:563.45pt;z-index:-251658240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">
                    <o:lock v:ext="edit" aspectratio="t"/>
                    <v:shape id="Freeform 10" o:spid="_x0000_s1028" style="position:absolute;width:55575;height:54044;visibility:visible;mso-wrap-style:square;v-text-anchor:bottom" coordsize="720,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01MIA&#10;AADcAAAADwAAAGRycy9kb3ducmV2LnhtbERPS2rDMBDdF3IHMYXuGskuNcWJEkogwYtAqd0DDNbE&#10;dmKNjKXEbk8fFQrdzeN9Z72dbS9uNPrOsYZkqUAQ18503Gj4qvbPbyB8QDbYOyYN3+Rhu1k8rDE3&#10;buJPupWhETGEfY4a2hCGXEpft2TRL91AHLmTGy2GCMdGmhGnGG57mSqVSYsdx4YWB9q1VF/Kq9Vg&#10;kvPLq1ONcuXhp/iosuPVSK/10+P8vgIRaA7/4j93YeL8NIPfZ+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yrTUwgAAANwAAAAPAAAAAAAAAAAAAAAAAJgCAABkcnMvZG93&#10;bnJldi54bWxQSwUGAAAAAAQABAD1AAAAhwM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104BE46F" w14:textId="77777777" w:rsidR="00AE46CA" w:rsidRPr="008813A0" w:rsidRDefault="0016441C" w:rsidP="007E3CC3">
                            <w:pPr>
                              <w:pStyle w:val="Title"/>
                              <w:ind w:right="1996" w:firstLine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Title"/>
                                <w:tag w:val=""/>
                                <w:id w:val="85238237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E46CA">
                                  <w:rPr>
                                    <w:color w:val="FFFFFF" w:themeColor="background1"/>
                                    <w:lang w:val="en-GB"/>
                                  </w:rPr>
                                  <w:t>UZŅĒMĒJU APTAUJAS REZULTĀTI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eeform 11" o:spid="_x0000_s1029" style="position:absolute;left:8763;top:47697;width:46850;height:5099;visibility:visible;mso-wrap-style:square;v-text-anchor:bottom" coordsize="60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/83cIA&#10;AADcAAAADwAAAGRycy9kb3ducmV2LnhtbERPTYvCMBC9L/gfwgje1rQeXOkaRQRhD4torQu9Dc3Y&#10;FptJaWKt/34jCN7m8T5nuR5MI3rqXG1ZQTyNQBAXVtdcKshOu88FCOeRNTaWScGDHKxXo48lJtre&#10;+Uh96ksRQtglqKDyvk2kdEVFBt3UtsSBu9jOoA+wK6Xu8B7CTSNnUTSXBmsODRW2tK2ouKY3o2Cz&#10;yP9uv9Se8/6Q7/fH9JzFWazUZDxsvkF4Gvxb/HL/6DB/9gXPZ8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/zdwgAAANwAAAAPAAAAAAAAAAAAAAAAAJgCAABkcnMvZG93&#10;bnJldi54bWxQSwUGAAAAAAQABAD1AAAAhwM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eastAsia="lv-LV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179DA2A9" wp14:editId="22F4EB86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6614160" cy="243205"/>
                    <wp:effectExtent l="0" t="0" r="0" b="0"/>
                    <wp:wrapSquare wrapText="bothSides"/>
                    <wp:docPr id="128" name="Text Box 1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614160" cy="243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C547D4" w14:textId="77777777" w:rsidR="00AE46CA" w:rsidRPr="0078531A" w:rsidRDefault="00AE46CA" w:rsidP="0098416C"/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9DA2A9" id="Text Box 128" o:spid="_x0000_s1030" type="#_x0000_t202" style="position:absolute;left:0;text-align:left;margin-left:0;margin-top:0;width:520.8pt;height:19.15pt;z-index:251658243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" filled="f" stroked="f" strokeweight=".5pt">
                    <v:path arrowok="t"/>
                    <v:textbox style="mso-fit-shape-to-text:t" inset="1in,0,86.4pt,0">
                      <w:txbxContent>
                        <w:p w14:paraId="41C547D4" w14:textId="77777777" w:rsidR="00AE46CA" w:rsidRPr="0078531A" w:rsidRDefault="00AE46CA" w:rsidP="0098416C"/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eastAsia="lv-LV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1575E897" wp14:editId="7D09924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6614160" cy="243205"/>
                    <wp:effectExtent l="0" t="0" r="0" b="0"/>
                    <wp:wrapSquare wrapText="bothSides"/>
                    <wp:docPr id="129" name="Text Box 1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614160" cy="243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0F723E" w14:textId="77777777" w:rsidR="00AE46CA" w:rsidRPr="0078531A" w:rsidRDefault="00AE46CA" w:rsidP="0098416C"/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75E897" id="Text Box 129" o:spid="_x0000_s1031" type="#_x0000_t202" style="position:absolute;left:0;text-align:left;margin-left:0;margin-top:0;width:520.8pt;height:19.15pt;z-index:25165824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" filled="f" stroked="f" strokeweight=".5pt">
                    <v:path arrowok="t"/>
                    <v:textbox style="mso-fit-shape-to-text:t" inset="1in,0,86.4pt,0">
                      <w:txbxContent>
                        <w:p w14:paraId="5E0F723E" w14:textId="77777777" w:rsidR="00AE46CA" w:rsidRPr="0078531A" w:rsidRDefault="00AE46CA" w:rsidP="0098416C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lv-LV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768AF5C" wp14:editId="4B22CF5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74675" cy="1044575"/>
                    <wp:effectExtent l="0" t="0" r="0" b="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74675" cy="10445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50675293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3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EF5A75A" w14:textId="77777777" w:rsidR="00AE46CA" w:rsidRDefault="00AE46CA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768AF5C" id="Rectangle 130" o:spid="_x0000_s1032" style="position:absolute;left:0;text-align:left;margin-left:-5.95pt;margin-top:0;width:45.25pt;height:82.25pt;z-index:251658241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50675293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3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EF5A75A" w14:textId="77777777" w:rsidR="00AE46CA" w:rsidRDefault="00AE46CA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91282" w:rsidRPr="0078531A">
            <w:br w:type="page"/>
          </w:r>
        </w:p>
        <w:p w14:paraId="766F4BCB" w14:textId="77777777" w:rsidR="00AF3BA8" w:rsidRPr="008813A0" w:rsidRDefault="00BB3AA6" w:rsidP="0098416C">
          <w:r w:rsidRPr="008813A0">
            <w:lastRenderedPageBreak/>
            <w:t>No 2013.gada 19.jūnija līdz 2.augustam</w:t>
          </w:r>
          <w:r w:rsidR="00AE1880" w:rsidRPr="008813A0">
            <w:t xml:space="preserve"> RIS3 I</w:t>
          </w:r>
          <w:r w:rsidRPr="008813A0">
            <w:t xml:space="preserve">ndustrijas </w:t>
          </w:r>
          <w:r w:rsidR="00AE1880" w:rsidRPr="008813A0">
            <w:t>no</w:t>
          </w:r>
          <w:r w:rsidRPr="008813A0">
            <w:t xml:space="preserve">vērtējuma ietvaros notika uzņēmēju anketēšana, kur komersanti varēja izteikt viedokli par iespējamajām </w:t>
          </w:r>
          <w:r w:rsidR="00AE46CA">
            <w:t>izaugsmes jomām</w:t>
          </w:r>
          <w:r w:rsidRPr="008813A0">
            <w:t xml:space="preserve"> Latvijā. </w:t>
          </w:r>
        </w:p>
        <w:p w14:paraId="26BB9FDC" w14:textId="77777777" w:rsidR="00BB3AA6" w:rsidRPr="0078531A" w:rsidRDefault="00BB3AA6" w:rsidP="0098416C">
          <w:pPr>
            <w:rPr>
              <w:rFonts w:eastAsiaTheme="majorEastAsia"/>
              <w:color w:val="1F4E79" w:themeColor="accent1" w:themeShade="80"/>
            </w:rPr>
          </w:pPr>
          <w:r w:rsidRPr="0078531A">
            <w:t xml:space="preserve">Iespēju piedalīties </w:t>
          </w:r>
          <w:r w:rsidR="0078531A">
            <w:t>„V</w:t>
          </w:r>
          <w:r w:rsidRPr="0078531A">
            <w:t xml:space="preserve">iedās </w:t>
          </w:r>
          <w:r w:rsidR="00AE46CA">
            <w:t>izaugsmes</w:t>
          </w:r>
          <w:r w:rsidRPr="0078531A">
            <w:t xml:space="preserve"> stratēģijas</w:t>
          </w:r>
          <w:r w:rsidR="0078531A">
            <w:t>”</w:t>
          </w:r>
          <w:r w:rsidRPr="0078531A">
            <w:t xml:space="preserve"> izstrādes procesā mēģināja izmantot 257 uzņēmumi, iesniegtas 123 unikālas anketas (</w:t>
          </w:r>
          <w:r w:rsidR="0014264F">
            <w:t>piecos</w:t>
          </w:r>
          <w:r w:rsidRPr="0078531A">
            <w:t xml:space="preserve"> gadījumos uzņēmumi iesniedza </w:t>
          </w:r>
          <w:r w:rsidR="0014264F">
            <w:t>divas</w:t>
          </w:r>
          <w:r w:rsidRPr="0078531A">
            <w:t xml:space="preserve"> identiskas anketas). </w:t>
          </w:r>
        </w:p>
      </w:sdtContent>
    </w:sdt>
    <w:p w14:paraId="06F0912B" w14:textId="77777777" w:rsidR="00207AC4" w:rsidRDefault="00BB3AA6" w:rsidP="0098416C">
      <w:r w:rsidRPr="0078531A">
        <w:t>Anketas aizpildīj</w:t>
      </w:r>
      <w:r w:rsidR="0014264F">
        <w:t>a</w:t>
      </w:r>
      <w:r w:rsidRPr="0078531A">
        <w:t xml:space="preserve"> 56 mikrouzņēmumi, 43 mazie uzņēmumi, 8 vidējie uzņēmumi un 11 lielie uzņēmumi, kuru pētniecības un attīstības investīciju ap</w:t>
      </w:r>
      <w:r w:rsidR="0014264F">
        <w:t>mēri</w:t>
      </w:r>
      <w:r w:rsidR="007B2922">
        <w:t xml:space="preserve"> </w:t>
      </w:r>
      <w:r w:rsidRPr="0078531A">
        <w:t xml:space="preserve"> svārstās no 24 tūkstošiem latu līdz pat 2 miljoniem latu gadā. </w:t>
      </w:r>
      <w:r w:rsidR="0014264F">
        <w:t>Pieci</w:t>
      </w:r>
      <w:r w:rsidRPr="0078531A">
        <w:t xml:space="preserve"> uzņēmumi nav norādījuši savu apgrozījumu, tādēļ</w:t>
      </w:r>
      <w:r w:rsidR="007B2922">
        <w:t xml:space="preserve"> tie iekļauti atsevišķā grupā. </w:t>
      </w:r>
      <w:r w:rsidR="000A2E77" w:rsidRPr="0078531A">
        <w:t>Minēta</w:t>
      </w:r>
      <w:r w:rsidR="0014264F">
        <w:t>jai</w:t>
      </w:r>
      <w:r w:rsidRPr="0078531A">
        <w:t xml:space="preserve"> klasifikācijai nav nekādas ietekmes uz tālāko aptaujas rezultātu analīzi.</w:t>
      </w:r>
    </w:p>
    <w:p w14:paraId="55FDD4B8" w14:textId="77777777" w:rsidR="00B53AEA" w:rsidRDefault="00207AC4" w:rsidP="00CB2FAD">
      <w:r w:rsidRPr="0078531A">
        <w:t xml:space="preserve">Pirmie </w:t>
      </w:r>
      <w:r>
        <w:t>pieci</w:t>
      </w:r>
      <w:r w:rsidRPr="0078531A">
        <w:t xml:space="preserve"> anketas jautājumi veltīti respondentu identifikācijai un raksturojumam. Iegūtās atbildes liecina par plašu tirgus dalībnieku interešu pārstāvniecību aptaujas rezultātos </w:t>
      </w:r>
      <w:r>
        <w:t xml:space="preserve">(skatīt </w:t>
      </w:r>
      <w:r w:rsidR="0016441C">
        <w:fldChar w:fldCharType="begin"/>
      </w:r>
      <w:r w:rsidR="0016441C">
        <w:instrText xml:space="preserve"> REF _Ref367997906 \h  \* MERGEFORMAT </w:instrText>
      </w:r>
      <w:r w:rsidR="0016441C">
        <w:fldChar w:fldCharType="separate"/>
      </w:r>
      <w:r w:rsidR="009D2209">
        <w:t>1</w:t>
      </w:r>
      <w:r w:rsidR="0016441C">
        <w:fldChar w:fldCharType="end"/>
      </w:r>
      <w:r>
        <w:t xml:space="preserve">.tabulu). </w:t>
      </w:r>
      <w:r w:rsidRPr="0078531A">
        <w:t>Rezultātu analīzei respondenti klasificēti pēc to apgrozījuma (</w:t>
      </w:r>
      <w:r>
        <w:t>izvēlētā klasifikācija ir</w:t>
      </w:r>
      <w:r w:rsidRPr="0078531A">
        <w:t xml:space="preserve"> </w:t>
      </w:r>
      <w:r>
        <w:t xml:space="preserve">indikatīva </w:t>
      </w:r>
      <w:r w:rsidRPr="0078531A">
        <w:t xml:space="preserve">un nenorāda uz </w:t>
      </w:r>
      <w:r>
        <w:t xml:space="preserve">valsts </w:t>
      </w:r>
      <w:r w:rsidRPr="0078531A">
        <w:t>oficiālo uzņēmum</w:t>
      </w:r>
      <w:r>
        <w:t>u</w:t>
      </w:r>
      <w:r w:rsidRPr="0078531A">
        <w:t xml:space="preserve"> klasifikāciju)</w:t>
      </w:r>
      <w:r>
        <w:t>,</w:t>
      </w:r>
      <w:r w:rsidRPr="0078531A">
        <w:t xml:space="preserve"> apkopoti to vidējie finanšu rādītāji. </w:t>
      </w:r>
      <w:r w:rsidR="00BB3AA6" w:rsidRPr="0078531A">
        <w:t xml:space="preserve"> </w:t>
      </w:r>
    </w:p>
    <w:bookmarkStart w:id="1" w:name="_Ref360461124"/>
    <w:bookmarkStart w:id="2" w:name="_Ref365987621"/>
    <w:bookmarkStart w:id="3" w:name="_Ref360461115"/>
    <w:p w14:paraId="05D6763B" w14:textId="77777777" w:rsidR="00BB3AA6" w:rsidRPr="008813A0" w:rsidRDefault="0063730E" w:rsidP="007E3CC3">
      <w:pPr>
        <w:pStyle w:val="Caption"/>
      </w:pPr>
      <w:r w:rsidRPr="00FB2F6F">
        <w:rPr>
          <w:i w:val="0"/>
        </w:rPr>
        <w:fldChar w:fldCharType="begin"/>
      </w:r>
      <w:r w:rsidR="009D2209" w:rsidRPr="00FB2F6F">
        <w:rPr>
          <w:i w:val="0"/>
        </w:rPr>
        <w:instrText xml:space="preserve"> SEQ Tabula \* ARABIC </w:instrText>
      </w:r>
      <w:r w:rsidRPr="00FB2F6F">
        <w:rPr>
          <w:i w:val="0"/>
        </w:rPr>
        <w:fldChar w:fldCharType="separate"/>
      </w:r>
      <w:bookmarkStart w:id="4" w:name="_Ref367997906"/>
      <w:r w:rsidR="00361D52" w:rsidRPr="00FB2F6F">
        <w:rPr>
          <w:i w:val="0"/>
          <w:noProof/>
        </w:rPr>
        <w:t>1</w:t>
      </w:r>
      <w:bookmarkEnd w:id="4"/>
      <w:r w:rsidRPr="00FB2F6F">
        <w:rPr>
          <w:i w:val="0"/>
        </w:rPr>
        <w:fldChar w:fldCharType="end"/>
      </w:r>
      <w:r w:rsidR="00DE6D70" w:rsidRPr="00FB2F6F">
        <w:rPr>
          <w:i w:val="0"/>
        </w:rPr>
        <w:t>.</w:t>
      </w:r>
      <w:r w:rsidR="00A52D50" w:rsidRPr="00FB2F6F">
        <w:rPr>
          <w:i w:val="0"/>
        </w:rPr>
        <w:t>t</w:t>
      </w:r>
      <w:r w:rsidR="00B53AEA" w:rsidRPr="00FB2F6F">
        <w:rPr>
          <w:i w:val="0"/>
        </w:rPr>
        <w:t>abula</w:t>
      </w:r>
      <w:bookmarkEnd w:id="1"/>
      <w:bookmarkEnd w:id="2"/>
      <w:r w:rsidR="00B53AEA" w:rsidRPr="00FB2F6F">
        <w:rPr>
          <w:i w:val="0"/>
        </w:rPr>
        <w:t>.</w:t>
      </w:r>
      <w:r w:rsidR="00B53AEA" w:rsidRPr="008813A0">
        <w:t xml:space="preserve"> Respondentu raksturojums (2</w:t>
      </w:r>
      <w:r w:rsidR="00A52D50" w:rsidRPr="0098416C">
        <w:t xml:space="preserve">. </w:t>
      </w:r>
      <w:r w:rsidR="0014264F" w:rsidRPr="0098416C">
        <w:t>, 3., 4.,</w:t>
      </w:r>
      <w:r w:rsidR="00CB2FAD">
        <w:t xml:space="preserve"> </w:t>
      </w:r>
      <w:r w:rsidR="00B53AEA" w:rsidRPr="008813A0">
        <w:t>5</w:t>
      </w:r>
      <w:r w:rsidR="00A52D50" w:rsidRPr="00F7429C">
        <w:t xml:space="preserve">. </w:t>
      </w:r>
      <w:r w:rsidR="00B53AEA" w:rsidRPr="008813A0">
        <w:t>un 7</w:t>
      </w:r>
      <w:r w:rsidR="00A52D50" w:rsidRPr="00F7429C">
        <w:t>.jaut</w:t>
      </w:r>
      <w:r w:rsidR="0099465A" w:rsidRPr="00F7429C">
        <w:t>ājums</w:t>
      </w:r>
      <w:r w:rsidR="00B53AEA" w:rsidRPr="008813A0">
        <w:t>)</w:t>
      </w:r>
      <w:bookmarkEnd w:id="3"/>
    </w:p>
    <w:tbl>
      <w:tblPr>
        <w:tblStyle w:val="PlainTable51"/>
        <w:tblW w:w="8679" w:type="dxa"/>
        <w:tblLook w:val="04A0" w:firstRow="1" w:lastRow="0" w:firstColumn="1" w:lastColumn="0" w:noHBand="0" w:noVBand="1"/>
      </w:tblPr>
      <w:tblGrid>
        <w:gridCol w:w="1549"/>
        <w:gridCol w:w="843"/>
        <w:gridCol w:w="1556"/>
        <w:gridCol w:w="1577"/>
        <w:gridCol w:w="1577"/>
        <w:gridCol w:w="1577"/>
      </w:tblGrid>
      <w:tr w:rsidR="000A2E77" w:rsidRPr="007E3CC3" w14:paraId="12556913" w14:textId="77777777" w:rsidTr="00AF3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9" w:type="dxa"/>
            <w:vAlign w:val="center"/>
          </w:tcPr>
          <w:p w14:paraId="0F8271AE" w14:textId="77777777" w:rsidR="00BB3AA6" w:rsidRPr="007E3CC3" w:rsidRDefault="00B53AEA" w:rsidP="008813A0">
            <w:pPr>
              <w:pStyle w:val="TableText"/>
            </w:pPr>
            <w:r w:rsidRPr="007E3CC3">
              <w:t>Uzņēmumu tips</w:t>
            </w:r>
          </w:p>
        </w:tc>
        <w:tc>
          <w:tcPr>
            <w:tcW w:w="843" w:type="dxa"/>
            <w:vAlign w:val="center"/>
          </w:tcPr>
          <w:p w14:paraId="1A4FD530" w14:textId="77777777" w:rsidR="00BB3AA6" w:rsidRPr="007E3CC3" w:rsidRDefault="00B53AEA" w:rsidP="008813A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CC3">
              <w:t>Skaits</w:t>
            </w:r>
          </w:p>
        </w:tc>
        <w:tc>
          <w:tcPr>
            <w:tcW w:w="1556" w:type="dxa"/>
            <w:vAlign w:val="center"/>
          </w:tcPr>
          <w:p w14:paraId="03B25607" w14:textId="77777777" w:rsidR="00BB3AA6" w:rsidRPr="007E3CC3" w:rsidRDefault="00B53AEA" w:rsidP="008813A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CC3">
              <w:t>Vidējais apgrozījums, LVL</w:t>
            </w:r>
          </w:p>
        </w:tc>
        <w:tc>
          <w:tcPr>
            <w:tcW w:w="1577" w:type="dxa"/>
            <w:vAlign w:val="center"/>
          </w:tcPr>
          <w:p w14:paraId="6B9AF7DF" w14:textId="77777777" w:rsidR="00BB3AA6" w:rsidRPr="007E3CC3" w:rsidRDefault="00B53AEA" w:rsidP="008813A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CC3">
              <w:t>Vidējās investīcijas pētniecībai un attīstībai pēdējā gadā, LVL un respondentu skaits</w:t>
            </w:r>
          </w:p>
        </w:tc>
        <w:tc>
          <w:tcPr>
            <w:tcW w:w="1577" w:type="dxa"/>
            <w:vAlign w:val="center"/>
          </w:tcPr>
          <w:p w14:paraId="33242218" w14:textId="77777777" w:rsidR="00BB3AA6" w:rsidRPr="007E3CC3" w:rsidRDefault="00B53AEA" w:rsidP="008813A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CC3">
              <w:t>Vidējais eksporta īpatsvars apgrozījumā un respondentu skait</w:t>
            </w:r>
            <w:r w:rsidR="00FB2F6F">
              <w:t>s</w:t>
            </w:r>
            <w:r w:rsidR="0014264F" w:rsidRPr="007E3CC3">
              <w:t>, %</w:t>
            </w:r>
          </w:p>
        </w:tc>
        <w:tc>
          <w:tcPr>
            <w:tcW w:w="1577" w:type="dxa"/>
            <w:vAlign w:val="center"/>
          </w:tcPr>
          <w:p w14:paraId="0C3CC4C5" w14:textId="77777777" w:rsidR="00BB3AA6" w:rsidRPr="007E3CC3" w:rsidRDefault="00B53AEA" w:rsidP="00CB2FAD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3CC3">
              <w:t xml:space="preserve">Pēdējos </w:t>
            </w:r>
            <w:r w:rsidR="00CB2FAD">
              <w:t>piecos</w:t>
            </w:r>
            <w:r w:rsidRPr="007E3CC3">
              <w:t xml:space="preserve"> gados radītu produktu īpatsvars apgrozījumā un respondentu skaits</w:t>
            </w:r>
            <w:r w:rsidR="00FE280A" w:rsidRPr="007E3CC3">
              <w:t>, %</w:t>
            </w:r>
          </w:p>
        </w:tc>
      </w:tr>
      <w:tr w:rsidR="000A2E77" w:rsidRPr="008813A0" w14:paraId="7C6E74E7" w14:textId="77777777" w:rsidTr="00AF3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71ACB785" w14:textId="77777777" w:rsidR="00B53AEA" w:rsidRPr="007B2922" w:rsidRDefault="00B53AEA" w:rsidP="008813A0">
            <w:pPr>
              <w:pStyle w:val="TableText"/>
            </w:pPr>
            <w:r w:rsidRPr="000F3757">
              <w:t xml:space="preserve">Mikruzņēmumi (apgrozījums </w:t>
            </w:r>
          </w:p>
          <w:p w14:paraId="0A095D4F" w14:textId="77777777" w:rsidR="00B53AEA" w:rsidRPr="007B2922" w:rsidRDefault="00B53AEA" w:rsidP="008813A0">
            <w:pPr>
              <w:pStyle w:val="TableText"/>
            </w:pPr>
            <w:r w:rsidRPr="000F3757">
              <w:t xml:space="preserve">&lt;1 </w:t>
            </w:r>
            <w:r w:rsidR="002F55A1" w:rsidRPr="007E3CC3">
              <w:t>milj.</w:t>
            </w:r>
            <w:r w:rsidRPr="007E3CC3">
              <w:t xml:space="preserve"> LVL)</w:t>
            </w:r>
          </w:p>
        </w:tc>
        <w:tc>
          <w:tcPr>
            <w:tcW w:w="843" w:type="dxa"/>
          </w:tcPr>
          <w:p w14:paraId="244D5A12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56</w:t>
            </w:r>
          </w:p>
        </w:tc>
        <w:tc>
          <w:tcPr>
            <w:tcW w:w="1556" w:type="dxa"/>
          </w:tcPr>
          <w:p w14:paraId="46852B1F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167 088</w:t>
            </w:r>
          </w:p>
        </w:tc>
        <w:tc>
          <w:tcPr>
            <w:tcW w:w="1577" w:type="dxa"/>
          </w:tcPr>
          <w:p w14:paraId="7DD42225" w14:textId="77777777" w:rsidR="00A52D50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24</w:t>
            </w:r>
            <w:r w:rsidR="00A52D50" w:rsidRPr="008813A0">
              <w:rPr>
                <w:i w:val="0"/>
              </w:rPr>
              <w:t> </w:t>
            </w:r>
            <w:r w:rsidRPr="008813A0">
              <w:rPr>
                <w:i w:val="0"/>
              </w:rPr>
              <w:t xml:space="preserve">916 </w:t>
            </w:r>
          </w:p>
          <w:p w14:paraId="4E2ED622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(39) </w:t>
            </w:r>
          </w:p>
        </w:tc>
        <w:tc>
          <w:tcPr>
            <w:tcW w:w="1577" w:type="dxa"/>
          </w:tcPr>
          <w:p w14:paraId="75D9B761" w14:textId="77777777" w:rsidR="0099465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43 </w:t>
            </w:r>
          </w:p>
          <w:p w14:paraId="3C5D0D0F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(23)</w:t>
            </w:r>
          </w:p>
        </w:tc>
        <w:tc>
          <w:tcPr>
            <w:tcW w:w="1577" w:type="dxa"/>
          </w:tcPr>
          <w:p w14:paraId="58CAC600" w14:textId="77777777" w:rsidR="0099465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37 </w:t>
            </w:r>
          </w:p>
          <w:p w14:paraId="761AC7C3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(42)</w:t>
            </w:r>
          </w:p>
        </w:tc>
      </w:tr>
      <w:tr w:rsidR="00BB3AA6" w:rsidRPr="008813A0" w14:paraId="45DDCA4A" w14:textId="77777777" w:rsidTr="00AF3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3487C5DE" w14:textId="77777777" w:rsidR="00B53AEA" w:rsidRPr="007B2922" w:rsidRDefault="00B53AEA" w:rsidP="008813A0">
            <w:pPr>
              <w:pStyle w:val="TableText"/>
            </w:pPr>
            <w:r w:rsidRPr="000F3757">
              <w:t xml:space="preserve">Mazie uzņēmumi (apgrozījums </w:t>
            </w:r>
          </w:p>
          <w:p w14:paraId="57BEAA8B" w14:textId="77777777" w:rsidR="00B53AEA" w:rsidRPr="007B2922" w:rsidRDefault="00B53AEA" w:rsidP="008813A0">
            <w:pPr>
              <w:pStyle w:val="TableText"/>
            </w:pPr>
            <w:r w:rsidRPr="000F3757">
              <w:t xml:space="preserve">&lt;10 </w:t>
            </w:r>
            <w:r w:rsidR="002F55A1" w:rsidRPr="007E3CC3">
              <w:t>milj.</w:t>
            </w:r>
            <w:r w:rsidRPr="007E3CC3">
              <w:t xml:space="preserve"> LVL)</w:t>
            </w:r>
          </w:p>
        </w:tc>
        <w:tc>
          <w:tcPr>
            <w:tcW w:w="843" w:type="dxa"/>
          </w:tcPr>
          <w:p w14:paraId="48A1689E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43</w:t>
            </w:r>
          </w:p>
        </w:tc>
        <w:tc>
          <w:tcPr>
            <w:tcW w:w="1556" w:type="dxa"/>
          </w:tcPr>
          <w:p w14:paraId="7337523B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3 384 531</w:t>
            </w:r>
          </w:p>
        </w:tc>
        <w:tc>
          <w:tcPr>
            <w:tcW w:w="1577" w:type="dxa"/>
          </w:tcPr>
          <w:p w14:paraId="2C5AA3A9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283</w:t>
            </w:r>
            <w:r w:rsidR="00AF3BA8" w:rsidRPr="008813A0">
              <w:rPr>
                <w:i w:val="0"/>
              </w:rPr>
              <w:t> </w:t>
            </w:r>
            <w:r w:rsidRPr="008813A0">
              <w:rPr>
                <w:i w:val="0"/>
              </w:rPr>
              <w:t xml:space="preserve">618 </w:t>
            </w:r>
          </w:p>
          <w:p w14:paraId="2C45588C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(41)</w:t>
            </w:r>
          </w:p>
        </w:tc>
        <w:tc>
          <w:tcPr>
            <w:tcW w:w="1577" w:type="dxa"/>
          </w:tcPr>
          <w:p w14:paraId="7B62B7A4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41 </w:t>
            </w:r>
          </w:p>
          <w:p w14:paraId="152C050B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</w:t>
            </w:r>
            <w:r w:rsidR="00AF3BA8" w:rsidRPr="008813A0">
              <w:rPr>
                <w:i w:val="0"/>
              </w:rPr>
              <w:t>34)</w:t>
            </w:r>
          </w:p>
          <w:p w14:paraId="54CA3137" w14:textId="77777777" w:rsidR="00B53AEA" w:rsidRPr="008813A0" w:rsidRDefault="00B53AEA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tcW w:w="1577" w:type="dxa"/>
          </w:tcPr>
          <w:p w14:paraId="6BCEE9FD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32 </w:t>
            </w:r>
          </w:p>
          <w:p w14:paraId="7BF37509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(41)</w:t>
            </w:r>
          </w:p>
        </w:tc>
      </w:tr>
      <w:tr w:rsidR="000A2E77" w:rsidRPr="008813A0" w14:paraId="6263749D" w14:textId="77777777" w:rsidTr="00AF3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68A641A3" w14:textId="77777777" w:rsidR="00B53AEA" w:rsidRPr="007B2922" w:rsidRDefault="00B53AEA" w:rsidP="008813A0">
            <w:pPr>
              <w:pStyle w:val="TableText"/>
            </w:pPr>
            <w:r w:rsidRPr="000F3757">
              <w:t xml:space="preserve">Vidējie uzņēmumi (apgrozījums &lt; 50 </w:t>
            </w:r>
            <w:r w:rsidR="002F55A1" w:rsidRPr="007E3CC3">
              <w:t>milj.</w:t>
            </w:r>
            <w:r w:rsidRPr="007E3CC3">
              <w:t xml:space="preserve"> LVL)</w:t>
            </w:r>
          </w:p>
        </w:tc>
        <w:tc>
          <w:tcPr>
            <w:tcW w:w="843" w:type="dxa"/>
          </w:tcPr>
          <w:p w14:paraId="4D30F25D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8</w:t>
            </w:r>
          </w:p>
        </w:tc>
        <w:tc>
          <w:tcPr>
            <w:tcW w:w="1556" w:type="dxa"/>
          </w:tcPr>
          <w:p w14:paraId="69CEC60E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7 105 066</w:t>
            </w:r>
          </w:p>
        </w:tc>
        <w:tc>
          <w:tcPr>
            <w:tcW w:w="1577" w:type="dxa"/>
          </w:tcPr>
          <w:p w14:paraId="3C90F2FC" w14:textId="77777777" w:rsidR="00FE280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2 111</w:t>
            </w:r>
            <w:r w:rsidR="00FE280A" w:rsidRPr="008813A0">
              <w:rPr>
                <w:i w:val="0"/>
              </w:rPr>
              <w:t> </w:t>
            </w:r>
            <w:r w:rsidRPr="008813A0">
              <w:rPr>
                <w:i w:val="0"/>
              </w:rPr>
              <w:t xml:space="preserve">943 </w:t>
            </w:r>
          </w:p>
          <w:p w14:paraId="1FC6769B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(6)</w:t>
            </w:r>
          </w:p>
        </w:tc>
        <w:tc>
          <w:tcPr>
            <w:tcW w:w="1577" w:type="dxa"/>
          </w:tcPr>
          <w:p w14:paraId="1BC0CF9C" w14:textId="77777777" w:rsidR="00FE280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54 </w:t>
            </w:r>
          </w:p>
          <w:p w14:paraId="4EE94918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(7)</w:t>
            </w:r>
          </w:p>
        </w:tc>
        <w:tc>
          <w:tcPr>
            <w:tcW w:w="1577" w:type="dxa"/>
          </w:tcPr>
          <w:p w14:paraId="66A60B1D" w14:textId="77777777" w:rsidR="00FE280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 45 </w:t>
            </w:r>
          </w:p>
          <w:p w14:paraId="0B0538DF" w14:textId="77777777" w:rsidR="00BB3AA6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(7)</w:t>
            </w:r>
          </w:p>
        </w:tc>
      </w:tr>
      <w:tr w:rsidR="00BB3AA6" w:rsidRPr="008813A0" w14:paraId="0185397D" w14:textId="77777777" w:rsidTr="00AF3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1C7D8E51" w14:textId="77777777" w:rsidR="0099465A" w:rsidRPr="007B2922" w:rsidRDefault="00B53AEA" w:rsidP="008813A0">
            <w:pPr>
              <w:pStyle w:val="TableText"/>
            </w:pPr>
            <w:r w:rsidRPr="000F3757">
              <w:t xml:space="preserve">Lielie uzņēmumi (apgrozījums </w:t>
            </w:r>
          </w:p>
          <w:p w14:paraId="17C986C1" w14:textId="77777777" w:rsidR="00BB3AA6" w:rsidRPr="007B2922" w:rsidRDefault="00B53AEA" w:rsidP="008813A0">
            <w:pPr>
              <w:pStyle w:val="TableText"/>
            </w:pPr>
            <w:r w:rsidRPr="000F3757">
              <w:t>&gt; 50 milj. LVL)</w:t>
            </w:r>
          </w:p>
        </w:tc>
        <w:tc>
          <w:tcPr>
            <w:tcW w:w="843" w:type="dxa"/>
          </w:tcPr>
          <w:p w14:paraId="29435EF9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11</w:t>
            </w:r>
          </w:p>
        </w:tc>
        <w:tc>
          <w:tcPr>
            <w:tcW w:w="1556" w:type="dxa"/>
          </w:tcPr>
          <w:p w14:paraId="189F4D87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160 791 062 </w:t>
            </w:r>
          </w:p>
        </w:tc>
        <w:tc>
          <w:tcPr>
            <w:tcW w:w="1577" w:type="dxa"/>
          </w:tcPr>
          <w:p w14:paraId="326DEA11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973</w:t>
            </w:r>
            <w:r w:rsidR="0099465A" w:rsidRPr="008813A0">
              <w:rPr>
                <w:i w:val="0"/>
              </w:rPr>
              <w:t> </w:t>
            </w:r>
            <w:r w:rsidRPr="008813A0">
              <w:rPr>
                <w:i w:val="0"/>
              </w:rPr>
              <w:t xml:space="preserve">628 </w:t>
            </w:r>
          </w:p>
          <w:p w14:paraId="3DB96697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(9)</w:t>
            </w:r>
          </w:p>
        </w:tc>
        <w:tc>
          <w:tcPr>
            <w:tcW w:w="1577" w:type="dxa"/>
          </w:tcPr>
          <w:p w14:paraId="0CA19596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71 </w:t>
            </w:r>
          </w:p>
          <w:p w14:paraId="2DF45018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(10)</w:t>
            </w:r>
          </w:p>
        </w:tc>
        <w:tc>
          <w:tcPr>
            <w:tcW w:w="1577" w:type="dxa"/>
          </w:tcPr>
          <w:p w14:paraId="10B16FD4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22 </w:t>
            </w:r>
          </w:p>
          <w:p w14:paraId="021BD9F5" w14:textId="77777777" w:rsidR="00B53AEA" w:rsidRPr="008813A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(9)</w:t>
            </w:r>
          </w:p>
        </w:tc>
      </w:tr>
      <w:tr w:rsidR="000A2E77" w:rsidRPr="008813A0" w14:paraId="4A6DDEC8" w14:textId="77777777" w:rsidTr="00AF3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6EFB2DB4" w14:textId="77777777" w:rsidR="00FE280A" w:rsidRPr="007B2922" w:rsidRDefault="00B53AEA" w:rsidP="008813A0">
            <w:pPr>
              <w:pStyle w:val="TableText"/>
            </w:pPr>
            <w:r w:rsidRPr="000F3757">
              <w:t>Neklasificētie</w:t>
            </w:r>
          </w:p>
          <w:p w14:paraId="35153331" w14:textId="77777777" w:rsidR="00BB3AA6" w:rsidRPr="007B2922" w:rsidRDefault="00B53AEA" w:rsidP="008813A0">
            <w:pPr>
              <w:pStyle w:val="TableText"/>
            </w:pPr>
            <w:r w:rsidRPr="000F3757">
              <w:t>uzņēmumi (nav datu par apgrozījumu)</w:t>
            </w:r>
          </w:p>
        </w:tc>
        <w:tc>
          <w:tcPr>
            <w:tcW w:w="843" w:type="dxa"/>
          </w:tcPr>
          <w:p w14:paraId="0959BFB0" w14:textId="77777777" w:rsidR="00B53AE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5</w:t>
            </w:r>
          </w:p>
        </w:tc>
        <w:tc>
          <w:tcPr>
            <w:tcW w:w="1556" w:type="dxa"/>
          </w:tcPr>
          <w:p w14:paraId="531B7118" w14:textId="77777777" w:rsidR="00B53AE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N/A</w:t>
            </w:r>
          </w:p>
        </w:tc>
        <w:tc>
          <w:tcPr>
            <w:tcW w:w="1577" w:type="dxa"/>
          </w:tcPr>
          <w:p w14:paraId="5ECE7B5C" w14:textId="77777777" w:rsidR="00B53AE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N/A</w:t>
            </w:r>
          </w:p>
        </w:tc>
        <w:tc>
          <w:tcPr>
            <w:tcW w:w="1577" w:type="dxa"/>
          </w:tcPr>
          <w:p w14:paraId="325F69DD" w14:textId="77777777" w:rsidR="00B53AE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N/A</w:t>
            </w:r>
          </w:p>
        </w:tc>
        <w:tc>
          <w:tcPr>
            <w:tcW w:w="1577" w:type="dxa"/>
          </w:tcPr>
          <w:p w14:paraId="116D1D47" w14:textId="77777777" w:rsidR="00B53AE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 xml:space="preserve">63 </w:t>
            </w:r>
          </w:p>
          <w:p w14:paraId="2208E60A" w14:textId="77777777" w:rsidR="00B53AEA" w:rsidRPr="008813A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</w:rPr>
            </w:pPr>
            <w:r w:rsidRPr="008813A0">
              <w:rPr>
                <w:i w:val="0"/>
              </w:rPr>
              <w:t>(3)</w:t>
            </w:r>
          </w:p>
        </w:tc>
      </w:tr>
      <w:tr w:rsidR="00AF3BA8" w:rsidRPr="008813A0" w14:paraId="3ED9FA0E" w14:textId="77777777" w:rsidTr="00AF3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74086DA1" w14:textId="77777777" w:rsidR="00AF3BA8" w:rsidRPr="008813A0" w:rsidRDefault="00AF3BA8" w:rsidP="008813A0">
            <w:pPr>
              <w:pStyle w:val="TableText"/>
            </w:pPr>
          </w:p>
        </w:tc>
        <w:tc>
          <w:tcPr>
            <w:tcW w:w="843" w:type="dxa"/>
          </w:tcPr>
          <w:p w14:paraId="0262A491" w14:textId="77777777" w:rsidR="00AF3BA8" w:rsidRPr="008813A0" w:rsidRDefault="00AF3BA8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tcW w:w="1556" w:type="dxa"/>
          </w:tcPr>
          <w:p w14:paraId="1D4FF185" w14:textId="77777777" w:rsidR="00AF3BA8" w:rsidRPr="008813A0" w:rsidRDefault="00AF3BA8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tcW w:w="1577" w:type="dxa"/>
          </w:tcPr>
          <w:p w14:paraId="1EF1408E" w14:textId="77777777" w:rsidR="00AF3BA8" w:rsidRPr="008813A0" w:rsidRDefault="00AF3BA8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tcW w:w="1577" w:type="dxa"/>
          </w:tcPr>
          <w:p w14:paraId="28464BC6" w14:textId="77777777" w:rsidR="00AF3BA8" w:rsidRPr="008813A0" w:rsidRDefault="00AF3BA8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  <w:tc>
          <w:tcPr>
            <w:tcW w:w="1577" w:type="dxa"/>
          </w:tcPr>
          <w:p w14:paraId="2BD5A9A5" w14:textId="77777777" w:rsidR="00AF3BA8" w:rsidRPr="008813A0" w:rsidRDefault="00AF3BA8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</w:tr>
    </w:tbl>
    <w:p w14:paraId="4B5AC021" w14:textId="77777777" w:rsidR="00AF3BA8" w:rsidRPr="00FC2C26" w:rsidRDefault="00CE2744" w:rsidP="00FC2C26">
      <w:bookmarkStart w:id="5" w:name="_Ref365374568"/>
      <w:r>
        <w:t xml:space="preserve">Aptaujā </w:t>
      </w:r>
      <w:r w:rsidR="00AF3BA8" w:rsidRPr="0078531A">
        <w:t xml:space="preserve">25% </w:t>
      </w:r>
      <w:r w:rsidR="00FE280A">
        <w:t>respondentu (</w:t>
      </w:r>
      <w:r>
        <w:t>uzņēmumu</w:t>
      </w:r>
      <w:r w:rsidR="00FE280A">
        <w:t>)</w:t>
      </w:r>
      <w:r>
        <w:t xml:space="preserve"> </w:t>
      </w:r>
      <w:r w:rsidR="00AF3BA8" w:rsidRPr="0078531A">
        <w:t xml:space="preserve">pārstāvēja IKT pakalpojumu nozari, 23% </w:t>
      </w:r>
      <w:r w:rsidR="00FE280A">
        <w:t xml:space="preserve">− </w:t>
      </w:r>
      <w:r w:rsidR="00AF3BA8" w:rsidRPr="0078531A">
        <w:t xml:space="preserve">lauksaimniecības un mežsaimniecības nozari. Pārējie </w:t>
      </w:r>
      <w:r w:rsidR="00FE280A">
        <w:t>respondenti (</w:t>
      </w:r>
      <w:r w:rsidR="00AF3BA8" w:rsidRPr="0078531A">
        <w:t>uzņēmumi</w:t>
      </w:r>
      <w:r w:rsidR="00FE280A">
        <w:t>)</w:t>
      </w:r>
      <w:r w:rsidR="00AF3BA8" w:rsidRPr="0078531A">
        <w:t xml:space="preserve"> pārstāvēja vēl 16 dažādas tautsaimniecības nozares </w:t>
      </w:r>
      <w:r w:rsidR="00AF3BA8">
        <w:t>(</w:t>
      </w:r>
      <w:r w:rsidR="00DE6D70">
        <w:t xml:space="preserve">skatīt </w:t>
      </w:r>
      <w:r w:rsidR="0063730E">
        <w:fldChar w:fldCharType="begin"/>
      </w:r>
      <w:r w:rsidR="009D2209">
        <w:instrText xml:space="preserve"> REF _Ref367997950 \h </w:instrText>
      </w:r>
      <w:r w:rsidR="0063730E">
        <w:fldChar w:fldCharType="separate"/>
      </w:r>
      <w:r w:rsidR="009D2209">
        <w:rPr>
          <w:noProof/>
        </w:rPr>
        <w:t>1</w:t>
      </w:r>
      <w:r w:rsidR="0063730E">
        <w:fldChar w:fldCharType="end"/>
      </w:r>
      <w:r w:rsidR="002F55A1">
        <w:t>.</w:t>
      </w:r>
      <w:r w:rsidR="00AF3BA8">
        <w:t>ilustrācij</w:t>
      </w:r>
      <w:r w:rsidR="00DE6D70">
        <w:t>u</w:t>
      </w:r>
      <w:r w:rsidR="00AF3BA8">
        <w:t xml:space="preserve">). </w:t>
      </w:r>
    </w:p>
    <w:p w14:paraId="7389920B" w14:textId="77777777" w:rsidR="00BB3AA6" w:rsidRPr="008813A0" w:rsidRDefault="0063730E" w:rsidP="007E3CC3">
      <w:pPr>
        <w:pStyle w:val="Caption"/>
      </w:pPr>
      <w:r w:rsidRPr="007E3CC3">
        <w:rPr>
          <w:i w:val="0"/>
        </w:rPr>
        <w:fldChar w:fldCharType="begin"/>
      </w:r>
      <w:r w:rsidR="00BE7FAA" w:rsidRPr="007E3CC3">
        <w:rPr>
          <w:i w:val="0"/>
        </w:rPr>
        <w:instrText xml:space="preserve"> SEQ Ilustrācija \* ARABIC </w:instrText>
      </w:r>
      <w:r w:rsidRPr="007E3CC3">
        <w:rPr>
          <w:i w:val="0"/>
        </w:rPr>
        <w:fldChar w:fldCharType="separate"/>
      </w:r>
      <w:bookmarkStart w:id="6" w:name="_Ref367997950"/>
      <w:r w:rsidR="007E3CC3" w:rsidRPr="007E3CC3">
        <w:rPr>
          <w:i w:val="0"/>
          <w:noProof/>
        </w:rPr>
        <w:t>1</w:t>
      </w:r>
      <w:bookmarkEnd w:id="6"/>
      <w:r w:rsidRPr="007E3CC3">
        <w:rPr>
          <w:i w:val="0"/>
        </w:rPr>
        <w:fldChar w:fldCharType="end"/>
      </w:r>
      <w:r w:rsidR="009D2209" w:rsidRPr="007E3CC3">
        <w:rPr>
          <w:i w:val="0"/>
        </w:rPr>
        <w:t>.</w:t>
      </w:r>
      <w:r w:rsidR="00B53AEA" w:rsidRPr="007E3CC3">
        <w:rPr>
          <w:i w:val="0"/>
        </w:rPr>
        <w:t>ilustrācija</w:t>
      </w:r>
      <w:bookmarkEnd w:id="5"/>
      <w:r w:rsidR="00B53AEA" w:rsidRPr="007E3CC3">
        <w:rPr>
          <w:i w:val="0"/>
          <w:noProof/>
        </w:rPr>
        <w:t>.</w:t>
      </w:r>
      <w:r w:rsidR="00B53AEA" w:rsidRPr="008813A0">
        <w:rPr>
          <w:noProof/>
        </w:rPr>
        <w:t xml:space="preserve"> </w:t>
      </w:r>
      <w:r w:rsidR="00B53AEA" w:rsidRPr="007E3CC3">
        <w:t>Respondentu</w:t>
      </w:r>
      <w:r w:rsidR="00B53AEA" w:rsidRPr="008813A0">
        <w:t xml:space="preserve"> pārstāvētās tautsaimniecības nozares</w:t>
      </w:r>
    </w:p>
    <w:p w14:paraId="7FB4AAF3" w14:textId="77777777" w:rsidR="00BB3AA6" w:rsidRPr="0078531A" w:rsidRDefault="00BB3AA6" w:rsidP="007E3CC3">
      <w:pPr>
        <w:pStyle w:val="FigureStyle"/>
      </w:pPr>
      <w:r w:rsidRPr="0078531A">
        <w:rPr>
          <w:lang w:val="lv-LV" w:eastAsia="lv-LV"/>
        </w:rPr>
        <w:drawing>
          <wp:inline distT="0" distB="0" distL="0" distR="0" wp14:anchorId="361C59B4" wp14:editId="78AA1CD6">
            <wp:extent cx="5705475" cy="4761966"/>
            <wp:effectExtent l="19050" t="0" r="9525" b="534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bookmarkStart w:id="7" w:name="_Ref360461012"/>
    <w:p w14:paraId="510F2F54" w14:textId="77777777" w:rsidR="00BB3AA6" w:rsidRPr="00376DB0" w:rsidRDefault="0063730E" w:rsidP="007E3CC3">
      <w:pPr>
        <w:pStyle w:val="Caption"/>
      </w:pPr>
      <w:r>
        <w:rPr>
          <w:i w:val="0"/>
        </w:rPr>
        <w:fldChar w:fldCharType="begin"/>
      </w:r>
      <w:r w:rsidR="007E3CC3">
        <w:rPr>
          <w:i w:val="0"/>
        </w:rPr>
        <w:instrText xml:space="preserve"> SEQ Ilustrācija \* ARABIC </w:instrText>
      </w:r>
      <w:r>
        <w:rPr>
          <w:i w:val="0"/>
        </w:rPr>
        <w:fldChar w:fldCharType="separate"/>
      </w:r>
      <w:bookmarkStart w:id="8" w:name="_Ref368063313"/>
      <w:r w:rsidR="007E3CC3">
        <w:rPr>
          <w:i w:val="0"/>
          <w:noProof/>
        </w:rPr>
        <w:t>2</w:t>
      </w:r>
      <w:bookmarkEnd w:id="8"/>
      <w:r>
        <w:rPr>
          <w:i w:val="0"/>
        </w:rPr>
        <w:fldChar w:fldCharType="end"/>
      </w:r>
      <w:r w:rsidR="007E3CC3">
        <w:rPr>
          <w:i w:val="0"/>
        </w:rPr>
        <w:t>.</w:t>
      </w:r>
      <w:r w:rsidR="00AA1815" w:rsidRPr="007E3CC3">
        <w:rPr>
          <w:i w:val="0"/>
        </w:rPr>
        <w:t>i</w:t>
      </w:r>
      <w:r w:rsidR="00B53AEA" w:rsidRPr="007E3CC3">
        <w:rPr>
          <w:i w:val="0"/>
        </w:rPr>
        <w:t>lustrācija</w:t>
      </w:r>
      <w:bookmarkEnd w:id="7"/>
      <w:r w:rsidR="00B53AEA" w:rsidRPr="007E3CC3">
        <w:rPr>
          <w:noProof/>
        </w:rPr>
        <w:t>.</w:t>
      </w:r>
      <w:r w:rsidR="00B53AEA" w:rsidRPr="00376DB0">
        <w:rPr>
          <w:noProof/>
        </w:rPr>
        <w:t xml:space="preserve"> </w:t>
      </w:r>
      <w:r w:rsidR="00B53AEA" w:rsidRPr="007E3CC3">
        <w:t>Jaunu</w:t>
      </w:r>
      <w:r w:rsidR="00B53AEA" w:rsidRPr="00376DB0">
        <w:t xml:space="preserve"> produktu un pakalpojumu skaits </w:t>
      </w:r>
      <w:r w:rsidR="003F210F">
        <w:t xml:space="preserve">to </w:t>
      </w:r>
      <w:r w:rsidR="00B53AEA" w:rsidRPr="00376DB0">
        <w:t>dažādās izstrādes stadijās</w:t>
      </w:r>
    </w:p>
    <w:p w14:paraId="4E977784" w14:textId="77777777" w:rsidR="00BB3AA6" w:rsidRPr="0078531A" w:rsidRDefault="00FF2F94" w:rsidP="008813A0">
      <w:pPr>
        <w:pStyle w:val="FigureStyle"/>
      </w:pPr>
      <w:r>
        <w:rPr>
          <w:lang w:val="lv-LV" w:eastAsia="lv-LV"/>
        </w:rPr>
        <w:drawing>
          <wp:inline distT="0" distB="0" distL="0" distR="0" wp14:anchorId="312144C4" wp14:editId="6457D2F7">
            <wp:extent cx="5638800" cy="36195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3D0E02A" w14:textId="77777777" w:rsidR="00B53AEA" w:rsidRDefault="00AE1880" w:rsidP="00F7429C">
      <w:r w:rsidRPr="0078531A">
        <w:t xml:space="preserve">Anketu aizpildīja uzņēmumi, kas aktīvi nodarbojas ar jaunu produktu un pakalpojumu izstrādi. Kā liecina </w:t>
      </w:r>
      <w:r w:rsidR="00FE280A">
        <w:t xml:space="preserve">anketas </w:t>
      </w:r>
      <w:r w:rsidRPr="0078531A">
        <w:t xml:space="preserve">sestā jautājuma rezultāti, šobrīd izstrādes procesā </w:t>
      </w:r>
      <w:r w:rsidR="00AA1815">
        <w:t>ir</w:t>
      </w:r>
      <w:r w:rsidRPr="0078531A">
        <w:t xml:space="preserve"> 3221 jaun</w:t>
      </w:r>
      <w:r w:rsidR="00AA1815">
        <w:t>s</w:t>
      </w:r>
      <w:r w:rsidRPr="0078531A">
        <w:t xml:space="preserve"> produkt</w:t>
      </w:r>
      <w:r w:rsidR="00AA1815">
        <w:t>s</w:t>
      </w:r>
      <w:r w:rsidR="007B2922">
        <w:t xml:space="preserve"> un </w:t>
      </w:r>
      <w:r w:rsidRPr="0078531A">
        <w:t>pakalpojum</w:t>
      </w:r>
      <w:r w:rsidR="00AA1815">
        <w:t>s</w:t>
      </w:r>
      <w:r w:rsidRPr="0078531A">
        <w:t xml:space="preserve"> dažādās </w:t>
      </w:r>
      <w:r w:rsidR="007B2922">
        <w:t xml:space="preserve">to </w:t>
      </w:r>
      <w:r w:rsidRPr="0078531A">
        <w:t xml:space="preserve">izstrādes stadijās. Visvairāk jauno produktu un pakalpojumu </w:t>
      </w:r>
      <w:r w:rsidR="00CB2FAD">
        <w:t>ir</w:t>
      </w:r>
      <w:r w:rsidRPr="0078531A">
        <w:t xml:space="preserve"> idejas stadijā (645), otrs lielākais produktu </w:t>
      </w:r>
      <w:r w:rsidR="007B2922">
        <w:t xml:space="preserve">un pakalpojumu </w:t>
      </w:r>
      <w:r w:rsidRPr="0078531A">
        <w:t xml:space="preserve">skaits ir vērojams tirgus paplašināšanas stadijā. Viszemākā aktivitāte vērojama izgudrojuma aizsardzības stadijā </w:t>
      </w:r>
      <w:r w:rsidR="00AA1815">
        <w:t>(</w:t>
      </w:r>
      <w:r w:rsidRPr="0078531A">
        <w:t>71 produkts</w:t>
      </w:r>
      <w:r w:rsidR="00FE280A">
        <w:t xml:space="preserve"> vai </w:t>
      </w:r>
      <w:r w:rsidRPr="0078531A">
        <w:t>pakalpojum</w:t>
      </w:r>
      <w:r w:rsidR="00AA1815">
        <w:t>s)</w:t>
      </w:r>
      <w:r w:rsidRPr="0078531A">
        <w:t>. Jāpiebilst, ka ar šo rezultātu interpretāciju ir saistīts risks, ka viens produkts</w:t>
      </w:r>
      <w:r w:rsidR="00AA1815">
        <w:t>,</w:t>
      </w:r>
      <w:r w:rsidRPr="0078531A">
        <w:t xml:space="preserve"> pēc </w:t>
      </w:r>
      <w:r w:rsidR="0098416C" w:rsidRPr="0078531A">
        <w:t>uzņēmēj</w:t>
      </w:r>
      <w:r w:rsidR="0098416C">
        <w:t>u</w:t>
      </w:r>
      <w:r w:rsidR="0098416C" w:rsidRPr="0078531A">
        <w:t xml:space="preserve"> </w:t>
      </w:r>
      <w:r w:rsidRPr="0078531A">
        <w:t>domām</w:t>
      </w:r>
      <w:r w:rsidR="00AA1815">
        <w:t>,</w:t>
      </w:r>
      <w:r w:rsidRPr="0078531A">
        <w:t xml:space="preserve"> vienlai</w:t>
      </w:r>
      <w:r w:rsidR="00AA1815">
        <w:t>kus</w:t>
      </w:r>
      <w:r w:rsidRPr="0078531A">
        <w:t xml:space="preserve"> </w:t>
      </w:r>
      <w:r w:rsidR="00AA1815">
        <w:t xml:space="preserve">ir </w:t>
      </w:r>
      <w:r w:rsidRPr="0078531A">
        <w:t xml:space="preserve">vairākās stadijās, </w:t>
      </w:r>
      <w:r w:rsidR="00FE280A">
        <w:t>t</w:t>
      </w:r>
      <w:r w:rsidRPr="0078531A">
        <w:t xml:space="preserve">ādēļ šie dati varētu būt pārspīlēti </w:t>
      </w:r>
      <w:r w:rsidR="00AA1815">
        <w:t>(</w:t>
      </w:r>
      <w:r w:rsidR="007E3CC3">
        <w:t xml:space="preserve">skatīt </w:t>
      </w:r>
      <w:r w:rsidR="0063730E">
        <w:fldChar w:fldCharType="begin"/>
      </w:r>
      <w:r w:rsidR="007E3CC3">
        <w:instrText xml:space="preserve"> REF _Ref368063313 \h </w:instrText>
      </w:r>
      <w:r w:rsidR="0063730E">
        <w:fldChar w:fldCharType="separate"/>
      </w:r>
      <w:r w:rsidR="007E3CC3">
        <w:rPr>
          <w:i/>
          <w:noProof/>
        </w:rPr>
        <w:t>2</w:t>
      </w:r>
      <w:r w:rsidR="0063730E">
        <w:fldChar w:fldCharType="end"/>
      </w:r>
      <w:r w:rsidR="007E3CC3">
        <w:t>.</w:t>
      </w:r>
      <w:r w:rsidR="00AA1815">
        <w:t>ilustrācij</w:t>
      </w:r>
      <w:r w:rsidR="007E3CC3">
        <w:t>u</w:t>
      </w:r>
      <w:r w:rsidR="00AA1815">
        <w:t>)</w:t>
      </w:r>
      <w:r w:rsidRPr="0078531A">
        <w:t>.</w:t>
      </w:r>
    </w:p>
    <w:p w14:paraId="1F34839A" w14:textId="77777777" w:rsidR="00B53AEA" w:rsidRDefault="00BB3AA6" w:rsidP="00F7429C">
      <w:r w:rsidRPr="0078531A">
        <w:t>Ar 7.jautājumu noskaidrots</w:t>
      </w:r>
      <w:r w:rsidR="00AA1815">
        <w:t>, kāds</w:t>
      </w:r>
      <w:r w:rsidRPr="0078531A">
        <w:t xml:space="preserve"> </w:t>
      </w:r>
      <w:r w:rsidR="00FE280A">
        <w:t>pēdējo piecu</w:t>
      </w:r>
      <w:r w:rsidR="00AA1815" w:rsidRPr="0078531A">
        <w:t xml:space="preserve"> gadu laikā </w:t>
      </w:r>
      <w:r w:rsidR="00AA1815">
        <w:t xml:space="preserve">ir </w:t>
      </w:r>
      <w:r w:rsidRPr="0078531A">
        <w:t xml:space="preserve">jaunu produktu īpatsvars uzņēmumu apgrozījumos, kas svārstās no 22% lielajiem uzņēmumiem līdz pat 45% vidējiem uzņēmumiem. Tas liecina, ka aptaujas respondenti arī pagātnē ir aktīvi atjaunojuši savu produktu klāstu. Lielāko rādītāju </w:t>
      </w:r>
      <w:r w:rsidR="00C5256D" w:rsidRPr="0078531A">
        <w:t xml:space="preserve">(63%) </w:t>
      </w:r>
      <w:r w:rsidRPr="0078531A">
        <w:t>uzrād</w:t>
      </w:r>
      <w:r w:rsidR="00C5256D">
        <w:t>a</w:t>
      </w:r>
      <w:r w:rsidR="00D96291" w:rsidRPr="0078531A">
        <w:t xml:space="preserve"> neklasificētie uzņēmumi, taču </w:t>
      </w:r>
      <w:r w:rsidRPr="0078531A">
        <w:t xml:space="preserve">rādītāji jāuztver piesardzīgi, jo šie uzņēmumi neuzrādīja savu apgrozījumu. </w:t>
      </w:r>
    </w:p>
    <w:p w14:paraId="3CA96457" w14:textId="77777777" w:rsidR="00BB3AA6" w:rsidRPr="0078531A" w:rsidRDefault="00BB3AA6" w:rsidP="00F7429C">
      <w:r w:rsidRPr="0078531A">
        <w:t>Rezultātu apraksts</w:t>
      </w:r>
      <w:r w:rsidR="00C5256D">
        <w:t>, analizējot respondentu atbildes u</w:t>
      </w:r>
      <w:r w:rsidR="007B2922">
        <w:t>z</w:t>
      </w:r>
      <w:r w:rsidR="00C5256D">
        <w:t xml:space="preserve"> 8., 9. un</w:t>
      </w:r>
      <w:r w:rsidR="007E3CC3">
        <w:t xml:space="preserve"> </w:t>
      </w:r>
      <w:r w:rsidR="00C5256D" w:rsidRPr="0078531A">
        <w:t>10</w:t>
      </w:r>
      <w:r w:rsidR="00C5256D">
        <w:t>. jautājumu</w:t>
      </w:r>
      <w:r w:rsidR="00C5256D" w:rsidRPr="0078531A">
        <w:t xml:space="preserve">. </w:t>
      </w:r>
      <w:r w:rsidR="000F5B27">
        <w:t>ir atrodams</w:t>
      </w:r>
      <w:r w:rsidR="007E3CC3">
        <w:t xml:space="preserve"> </w:t>
      </w:r>
      <w:r w:rsidR="00CB2FAD">
        <w:t>informatīvā ziņojuma</w:t>
      </w:r>
      <w:r w:rsidR="000F5B27">
        <w:t xml:space="preserve"> „Viedās </w:t>
      </w:r>
      <w:r w:rsidR="00AE46CA">
        <w:t>izaugsmes</w:t>
      </w:r>
      <w:r w:rsidR="005174EA">
        <w:t xml:space="preserve"> stratēģija</w:t>
      </w:r>
      <w:r w:rsidR="000F5B27">
        <w:t xml:space="preserve">” </w:t>
      </w:r>
      <w:r w:rsidR="00AE46CA">
        <w:t>3</w:t>
      </w:r>
      <w:r w:rsidR="00D96291" w:rsidRPr="0078531A">
        <w:t>.3.</w:t>
      </w:r>
      <w:r w:rsidR="00AE46CA">
        <w:t>nodaļā.</w:t>
      </w:r>
    </w:p>
    <w:p w14:paraId="497B3CB0" w14:textId="77777777" w:rsidR="00B53AEA" w:rsidRDefault="00B45C53" w:rsidP="00F7429C">
      <w:r w:rsidRPr="0078531A">
        <w:t xml:space="preserve">11.jautājumā </w:t>
      </w:r>
      <w:r w:rsidR="003F210F">
        <w:t xml:space="preserve">respondenti </w:t>
      </w:r>
      <w:r w:rsidRPr="0078531A">
        <w:t>identificē t</w:t>
      </w:r>
      <w:r w:rsidR="003F210F">
        <w:t>os</w:t>
      </w:r>
      <w:r w:rsidRPr="0078531A">
        <w:t xml:space="preserve"> informācijas avot</w:t>
      </w:r>
      <w:r w:rsidR="003F210F">
        <w:t>us</w:t>
      </w:r>
      <w:r w:rsidRPr="0078531A">
        <w:t xml:space="preserve">, no kuriem tiek iegūta informācija par nākotnes tehnoloģijām un nākotnes attīstības iespējām. 91,6% </w:t>
      </w:r>
      <w:r w:rsidR="00CE2744" w:rsidRPr="00376DB0">
        <w:t xml:space="preserve">respondentu </w:t>
      </w:r>
      <w:r w:rsidR="00B53AEA" w:rsidRPr="008813A0">
        <w:t>norād</w:t>
      </w:r>
      <w:r w:rsidR="00C5256D" w:rsidRPr="008813A0">
        <w:t>a</w:t>
      </w:r>
      <w:r w:rsidR="0098416C" w:rsidRPr="008813A0">
        <w:t xml:space="preserve"> </w:t>
      </w:r>
      <w:r w:rsidRPr="00361D52">
        <w:t>internetu</w:t>
      </w:r>
      <w:r w:rsidR="00207AC4">
        <w:t xml:space="preserve"> kā informācijas avotu</w:t>
      </w:r>
      <w:r w:rsidRPr="0078531A">
        <w:t xml:space="preserve">, 77,3% </w:t>
      </w:r>
      <w:r w:rsidR="00CE2744">
        <w:t xml:space="preserve">− </w:t>
      </w:r>
      <w:r w:rsidRPr="0078531A">
        <w:t>nozares izstādes un seminārus</w:t>
      </w:r>
      <w:r w:rsidR="00CE2744">
        <w:t>,</w:t>
      </w:r>
      <w:r w:rsidRPr="0078531A">
        <w:t xml:space="preserve"> 63%</w:t>
      </w:r>
      <w:r w:rsidR="00C5256D" w:rsidRPr="0078531A">
        <w:t xml:space="preserve"> </w:t>
      </w:r>
      <w:r w:rsidR="00C5256D">
        <w:t xml:space="preserve">− </w:t>
      </w:r>
      <w:r w:rsidRPr="0078531A">
        <w:t>savus klientus un konkurentus</w:t>
      </w:r>
      <w:r w:rsidR="00CE2744">
        <w:t>.</w:t>
      </w:r>
      <w:r w:rsidRPr="0078531A">
        <w:t xml:space="preserve"> Aptaujas rezultāti norāda arī uz potenciālu iespēju valsts līmenī veidot nākotnes attīstības un nākotnes tehnoloģiju seminārus, it īpaši nozarēs, k</w:t>
      </w:r>
      <w:r w:rsidR="00034DDC">
        <w:t>ur ir</w:t>
      </w:r>
      <w:r w:rsidRPr="0078531A">
        <w:t xml:space="preserve"> visaugstāk</w:t>
      </w:r>
      <w:r w:rsidR="00034DDC">
        <w:t>ais</w:t>
      </w:r>
      <w:r w:rsidRPr="0078531A">
        <w:t xml:space="preserve"> eksporta potenciāl</w:t>
      </w:r>
      <w:r w:rsidR="00034DDC">
        <w:t>s</w:t>
      </w:r>
      <w:r w:rsidRPr="0078531A">
        <w:t xml:space="preserve"> (</w:t>
      </w:r>
      <w:r w:rsidR="0098416C">
        <w:t>skatīt</w:t>
      </w:r>
      <w:r w:rsidR="00361D52">
        <w:t xml:space="preserve"> </w:t>
      </w:r>
      <w:r w:rsidR="0063730E">
        <w:fldChar w:fldCharType="begin"/>
      </w:r>
      <w:r w:rsidR="00361D52">
        <w:instrText xml:space="preserve"> REF _Ref367998234 \h </w:instrText>
      </w:r>
      <w:r w:rsidR="0063730E">
        <w:fldChar w:fldCharType="separate"/>
      </w:r>
      <w:r w:rsidR="00361D52">
        <w:rPr>
          <w:noProof/>
        </w:rPr>
        <w:t>2</w:t>
      </w:r>
      <w:r w:rsidR="0063730E">
        <w:fldChar w:fldCharType="end"/>
      </w:r>
      <w:r w:rsidR="0098416C">
        <w:t>.tabulu)</w:t>
      </w:r>
      <w:r w:rsidRPr="0078531A">
        <w:t>.</w:t>
      </w:r>
    </w:p>
    <w:bookmarkStart w:id="9" w:name="_Ref365987634"/>
    <w:p w14:paraId="17D41909" w14:textId="77777777" w:rsidR="00BB3AA6" w:rsidRPr="008813A0" w:rsidRDefault="0063730E" w:rsidP="007E3CC3">
      <w:pPr>
        <w:pStyle w:val="Caption"/>
        <w:rPr>
          <w:sz w:val="20"/>
          <w:szCs w:val="20"/>
        </w:rPr>
      </w:pPr>
      <w:r w:rsidRPr="007E3CC3">
        <w:rPr>
          <w:i w:val="0"/>
        </w:rPr>
        <w:fldChar w:fldCharType="begin"/>
      </w:r>
      <w:r w:rsidR="00361D52" w:rsidRPr="007E3CC3">
        <w:rPr>
          <w:i w:val="0"/>
        </w:rPr>
        <w:instrText xml:space="preserve"> SEQ Tabula \* ARABIC </w:instrText>
      </w:r>
      <w:r w:rsidRPr="007E3CC3">
        <w:rPr>
          <w:i w:val="0"/>
        </w:rPr>
        <w:fldChar w:fldCharType="separate"/>
      </w:r>
      <w:bookmarkStart w:id="10" w:name="_Ref367998234"/>
      <w:r w:rsidR="00361D52" w:rsidRPr="007E3CC3">
        <w:rPr>
          <w:i w:val="0"/>
          <w:noProof/>
        </w:rPr>
        <w:t>2</w:t>
      </w:r>
      <w:bookmarkEnd w:id="10"/>
      <w:r w:rsidRPr="007E3CC3">
        <w:rPr>
          <w:i w:val="0"/>
        </w:rPr>
        <w:fldChar w:fldCharType="end"/>
      </w:r>
      <w:r w:rsidR="0098416C" w:rsidRPr="007E3CC3">
        <w:rPr>
          <w:i w:val="0"/>
        </w:rPr>
        <w:t>.</w:t>
      </w:r>
      <w:r w:rsidR="00B53AEA" w:rsidRPr="007E3CC3">
        <w:rPr>
          <w:i w:val="0"/>
          <w:sz w:val="20"/>
          <w:szCs w:val="20"/>
        </w:rPr>
        <w:t>tabula</w:t>
      </w:r>
      <w:bookmarkEnd w:id="9"/>
      <w:r w:rsidR="00B53AEA" w:rsidRPr="007E3CC3">
        <w:rPr>
          <w:i w:val="0"/>
          <w:sz w:val="20"/>
          <w:szCs w:val="20"/>
        </w:rPr>
        <w:t>.</w:t>
      </w:r>
      <w:r w:rsidR="00B53AEA" w:rsidRPr="008813A0">
        <w:rPr>
          <w:sz w:val="20"/>
          <w:szCs w:val="20"/>
        </w:rPr>
        <w:t xml:space="preserve"> Informācijas avotu </w:t>
      </w:r>
      <w:r w:rsidR="00C5256D">
        <w:t xml:space="preserve">par nākotnes tehnoloģijām un attīstības iespējām </w:t>
      </w:r>
      <w:r w:rsidR="00B53AEA" w:rsidRPr="008813A0">
        <w:rPr>
          <w:sz w:val="20"/>
          <w:szCs w:val="20"/>
        </w:rPr>
        <w:t>izma</w:t>
      </w:r>
      <w:r w:rsidR="00C5256D">
        <w:t>n</w:t>
      </w:r>
      <w:r w:rsidR="00B53AEA" w:rsidRPr="008813A0">
        <w:rPr>
          <w:sz w:val="20"/>
          <w:szCs w:val="20"/>
        </w:rPr>
        <w:t>tošana</w:t>
      </w:r>
    </w:p>
    <w:tbl>
      <w:tblPr>
        <w:tblStyle w:val="PlainTable21"/>
        <w:tblW w:w="7980" w:type="dxa"/>
        <w:tblLook w:val="04A0" w:firstRow="1" w:lastRow="0" w:firstColumn="1" w:lastColumn="0" w:noHBand="0" w:noVBand="1"/>
      </w:tblPr>
      <w:tblGrid>
        <w:gridCol w:w="5657"/>
        <w:gridCol w:w="1284"/>
        <w:gridCol w:w="1039"/>
      </w:tblGrid>
      <w:tr w:rsidR="00BB3AA6" w:rsidRPr="007E3CC3" w14:paraId="4E984D12" w14:textId="77777777" w:rsidTr="00606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tcBorders>
              <w:bottom w:val="single" w:sz="12" w:space="0" w:color="auto"/>
            </w:tcBorders>
            <w:hideMark/>
          </w:tcPr>
          <w:p w14:paraId="3ED133BA" w14:textId="77777777" w:rsidR="00BB3AA6" w:rsidRPr="007E3CC3" w:rsidRDefault="00B53AEA" w:rsidP="008813A0">
            <w:pPr>
              <w:pStyle w:val="TableText"/>
              <w:rPr>
                <w:rFonts w:eastAsia="Times New Roman"/>
                <w:b w:val="0"/>
                <w:i w:val="0"/>
                <w:lang w:eastAsia="lv-LV"/>
              </w:rPr>
            </w:pPr>
            <w:r w:rsidRPr="007E3CC3">
              <w:rPr>
                <w:rFonts w:eastAsia="Times New Roman"/>
                <w:i w:val="0"/>
                <w:lang w:eastAsia="lv-LV"/>
              </w:rPr>
              <w:t>Atbildes iespējas</w:t>
            </w:r>
            <w:r w:rsidR="00BB3AA6" w:rsidRPr="007E3CC3">
              <w:rPr>
                <w:rFonts w:eastAsia="Times New Roman"/>
                <w:i w:val="0"/>
                <w:lang w:eastAsia="lv-LV"/>
              </w:rPr>
              <w:t xml:space="preserve"> </w:t>
            </w:r>
          </w:p>
        </w:tc>
        <w:tc>
          <w:tcPr>
            <w:tcW w:w="1284" w:type="dxa"/>
            <w:tcBorders>
              <w:bottom w:val="single" w:sz="12" w:space="0" w:color="auto"/>
            </w:tcBorders>
            <w:hideMark/>
          </w:tcPr>
          <w:p w14:paraId="7ABA4F04" w14:textId="77777777" w:rsidR="00BB3AA6" w:rsidRPr="007E3CC3" w:rsidRDefault="00BB3AA6" w:rsidP="008813A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i w:val="0"/>
                <w:lang w:eastAsia="lv-LV"/>
              </w:rPr>
            </w:pPr>
            <w:r w:rsidRPr="007E3CC3">
              <w:rPr>
                <w:rFonts w:eastAsia="Times New Roman"/>
                <w:i w:val="0"/>
                <w:lang w:eastAsia="lv-LV"/>
              </w:rPr>
              <w:t>Procenti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hideMark/>
          </w:tcPr>
          <w:p w14:paraId="58765499" w14:textId="77777777" w:rsidR="00BB3AA6" w:rsidRPr="007E3CC3" w:rsidRDefault="00BB3AA6" w:rsidP="008813A0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i w:val="0"/>
                <w:lang w:eastAsia="lv-LV"/>
              </w:rPr>
            </w:pPr>
            <w:r w:rsidRPr="007E3CC3">
              <w:rPr>
                <w:rFonts w:eastAsia="Times New Roman"/>
                <w:i w:val="0"/>
                <w:lang w:eastAsia="lv-LV"/>
              </w:rPr>
              <w:t>Skaits</w:t>
            </w:r>
          </w:p>
        </w:tc>
      </w:tr>
      <w:tr w:rsidR="00BB3AA6" w:rsidRPr="0098416C" w14:paraId="6654D7FC" w14:textId="77777777" w:rsidTr="0060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tcBorders>
              <w:top w:val="single" w:sz="12" w:space="0" w:color="auto"/>
            </w:tcBorders>
            <w:hideMark/>
          </w:tcPr>
          <w:p w14:paraId="43D17D10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Klienti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noWrap/>
            <w:hideMark/>
          </w:tcPr>
          <w:p w14:paraId="56B79A44" w14:textId="77777777" w:rsidR="00BB3AA6" w:rsidRPr="00BA5B87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63,0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noWrap/>
            <w:hideMark/>
          </w:tcPr>
          <w:p w14:paraId="5CA5F92B" w14:textId="77777777" w:rsidR="00BB3AA6" w:rsidRPr="00376DB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75</w:t>
            </w:r>
          </w:p>
        </w:tc>
      </w:tr>
      <w:tr w:rsidR="00BB3AA6" w:rsidRPr="0098416C" w14:paraId="3FFD12E6" w14:textId="77777777" w:rsidTr="006069F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5FEED7EE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Piegādātāji</w:t>
            </w:r>
          </w:p>
        </w:tc>
        <w:tc>
          <w:tcPr>
            <w:tcW w:w="1284" w:type="dxa"/>
            <w:noWrap/>
            <w:hideMark/>
          </w:tcPr>
          <w:p w14:paraId="68DEA930" w14:textId="77777777" w:rsidR="00BB3AA6" w:rsidRPr="00BA5B87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61,3</w:t>
            </w:r>
          </w:p>
        </w:tc>
        <w:tc>
          <w:tcPr>
            <w:tcW w:w="1039" w:type="dxa"/>
            <w:noWrap/>
            <w:hideMark/>
          </w:tcPr>
          <w:p w14:paraId="410D8D93" w14:textId="77777777" w:rsidR="00BB3AA6" w:rsidRPr="00376DB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73</w:t>
            </w:r>
          </w:p>
        </w:tc>
      </w:tr>
      <w:tr w:rsidR="00BB3AA6" w:rsidRPr="0098416C" w14:paraId="60B61B06" w14:textId="77777777" w:rsidTr="0060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6ACADADE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Konkurenti</w:t>
            </w:r>
          </w:p>
        </w:tc>
        <w:tc>
          <w:tcPr>
            <w:tcW w:w="1284" w:type="dxa"/>
            <w:noWrap/>
            <w:hideMark/>
          </w:tcPr>
          <w:p w14:paraId="033B6446" w14:textId="77777777" w:rsidR="00BB3AA6" w:rsidRPr="00BA5B87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63,0</w:t>
            </w:r>
          </w:p>
        </w:tc>
        <w:tc>
          <w:tcPr>
            <w:tcW w:w="1039" w:type="dxa"/>
            <w:noWrap/>
            <w:hideMark/>
          </w:tcPr>
          <w:p w14:paraId="18827B05" w14:textId="77777777" w:rsidR="00BB3AA6" w:rsidRPr="00376DB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75</w:t>
            </w:r>
          </w:p>
        </w:tc>
      </w:tr>
      <w:tr w:rsidR="00BB3AA6" w:rsidRPr="0098416C" w14:paraId="45450E63" w14:textId="77777777" w:rsidTr="006069F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4537AC77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 xml:space="preserve">Latvijas </w:t>
            </w:r>
            <w:r w:rsidR="000A6764" w:rsidRPr="008813A0">
              <w:rPr>
                <w:rFonts w:eastAsia="Times New Roman"/>
                <w:i w:val="0"/>
                <w:lang w:eastAsia="lv-LV"/>
              </w:rPr>
              <w:t>z</w:t>
            </w:r>
            <w:r w:rsidRPr="008813A0">
              <w:rPr>
                <w:rFonts w:eastAsia="Times New Roman"/>
                <w:i w:val="0"/>
                <w:lang w:eastAsia="lv-LV"/>
              </w:rPr>
              <w:t xml:space="preserve">inātniskās un </w:t>
            </w:r>
            <w:r w:rsidR="000A6764" w:rsidRPr="008813A0">
              <w:rPr>
                <w:rFonts w:eastAsia="Times New Roman"/>
                <w:i w:val="0"/>
                <w:lang w:eastAsia="lv-LV"/>
              </w:rPr>
              <w:t>p</w:t>
            </w:r>
            <w:r w:rsidRPr="008813A0">
              <w:rPr>
                <w:rFonts w:eastAsia="Times New Roman"/>
                <w:i w:val="0"/>
                <w:lang w:eastAsia="lv-LV"/>
              </w:rPr>
              <w:t>ētniecības institūcijas</w:t>
            </w:r>
          </w:p>
        </w:tc>
        <w:tc>
          <w:tcPr>
            <w:tcW w:w="1284" w:type="dxa"/>
            <w:noWrap/>
            <w:hideMark/>
          </w:tcPr>
          <w:p w14:paraId="03E031AB" w14:textId="77777777" w:rsidR="00BB3AA6" w:rsidRPr="00BA5B87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46,2</w:t>
            </w:r>
          </w:p>
        </w:tc>
        <w:tc>
          <w:tcPr>
            <w:tcW w:w="1039" w:type="dxa"/>
            <w:noWrap/>
            <w:hideMark/>
          </w:tcPr>
          <w:p w14:paraId="4ADE17D4" w14:textId="77777777" w:rsidR="00BB3AA6" w:rsidRPr="00376DB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55</w:t>
            </w:r>
          </w:p>
        </w:tc>
      </w:tr>
      <w:tr w:rsidR="00BB3AA6" w:rsidRPr="0098416C" w14:paraId="3731EA99" w14:textId="77777777" w:rsidTr="0060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0545B4CD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 xml:space="preserve">Ārvalstu </w:t>
            </w:r>
            <w:r w:rsidR="000A6764" w:rsidRPr="008813A0">
              <w:rPr>
                <w:rFonts w:eastAsia="Times New Roman"/>
                <w:i w:val="0"/>
                <w:lang w:eastAsia="lv-LV"/>
              </w:rPr>
              <w:t>z</w:t>
            </w:r>
            <w:r w:rsidRPr="008813A0">
              <w:rPr>
                <w:rFonts w:eastAsia="Times New Roman"/>
                <w:i w:val="0"/>
                <w:lang w:eastAsia="lv-LV"/>
              </w:rPr>
              <w:t xml:space="preserve">inātniskās un </w:t>
            </w:r>
            <w:r w:rsidR="000A6764" w:rsidRPr="008813A0">
              <w:rPr>
                <w:rFonts w:eastAsia="Times New Roman"/>
                <w:i w:val="0"/>
                <w:lang w:eastAsia="lv-LV"/>
              </w:rPr>
              <w:t>p</w:t>
            </w:r>
            <w:r w:rsidRPr="008813A0">
              <w:rPr>
                <w:rFonts w:eastAsia="Times New Roman"/>
                <w:i w:val="0"/>
                <w:lang w:eastAsia="lv-LV"/>
              </w:rPr>
              <w:t>ētniecības institūcijas</w:t>
            </w:r>
          </w:p>
        </w:tc>
        <w:tc>
          <w:tcPr>
            <w:tcW w:w="1284" w:type="dxa"/>
            <w:noWrap/>
            <w:hideMark/>
          </w:tcPr>
          <w:p w14:paraId="5E35BEDD" w14:textId="77777777" w:rsidR="00BB3AA6" w:rsidRPr="00BA5B87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32,8</w:t>
            </w:r>
          </w:p>
        </w:tc>
        <w:tc>
          <w:tcPr>
            <w:tcW w:w="1039" w:type="dxa"/>
            <w:noWrap/>
            <w:hideMark/>
          </w:tcPr>
          <w:p w14:paraId="4EE80C6F" w14:textId="77777777" w:rsidR="00BB3AA6" w:rsidRPr="00376DB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39</w:t>
            </w:r>
          </w:p>
        </w:tc>
      </w:tr>
      <w:tr w:rsidR="00BB3AA6" w:rsidRPr="0098416C" w14:paraId="26CDA3C3" w14:textId="77777777" w:rsidTr="006069F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1101B51E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Nozares izstādes un semināri</w:t>
            </w:r>
          </w:p>
        </w:tc>
        <w:tc>
          <w:tcPr>
            <w:tcW w:w="1284" w:type="dxa"/>
            <w:noWrap/>
            <w:hideMark/>
          </w:tcPr>
          <w:p w14:paraId="098E08F5" w14:textId="77777777" w:rsidR="00BB3AA6" w:rsidRPr="00BA5B87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77,3</w:t>
            </w:r>
          </w:p>
        </w:tc>
        <w:tc>
          <w:tcPr>
            <w:tcW w:w="1039" w:type="dxa"/>
            <w:noWrap/>
            <w:hideMark/>
          </w:tcPr>
          <w:p w14:paraId="28FA564D" w14:textId="77777777" w:rsidR="00BB3AA6" w:rsidRPr="00376DB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92</w:t>
            </w:r>
          </w:p>
        </w:tc>
      </w:tr>
      <w:tr w:rsidR="00BB3AA6" w:rsidRPr="0098416C" w14:paraId="58A5F91A" w14:textId="77777777" w:rsidTr="0060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3A1036DF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Nozares klasteru pasākumi</w:t>
            </w:r>
          </w:p>
        </w:tc>
        <w:tc>
          <w:tcPr>
            <w:tcW w:w="1284" w:type="dxa"/>
            <w:noWrap/>
            <w:hideMark/>
          </w:tcPr>
          <w:p w14:paraId="1B15EA59" w14:textId="77777777" w:rsidR="00BB3AA6" w:rsidRPr="00BA5B87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30,3</w:t>
            </w:r>
          </w:p>
        </w:tc>
        <w:tc>
          <w:tcPr>
            <w:tcW w:w="1039" w:type="dxa"/>
            <w:noWrap/>
            <w:hideMark/>
          </w:tcPr>
          <w:p w14:paraId="32CC09F0" w14:textId="77777777" w:rsidR="00BB3AA6" w:rsidRPr="00376DB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36</w:t>
            </w:r>
          </w:p>
        </w:tc>
      </w:tr>
      <w:tr w:rsidR="00BB3AA6" w:rsidRPr="0098416C" w14:paraId="40A73EDA" w14:textId="77777777" w:rsidTr="006069F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72524E22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Specializētā literatūra, tai skaitā abonētie maksas elektroniskie izdevumi</w:t>
            </w:r>
          </w:p>
        </w:tc>
        <w:tc>
          <w:tcPr>
            <w:tcW w:w="1284" w:type="dxa"/>
            <w:noWrap/>
            <w:hideMark/>
          </w:tcPr>
          <w:p w14:paraId="5A8C5993" w14:textId="77777777" w:rsidR="00BB3AA6" w:rsidRPr="00BA5B87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62,2</w:t>
            </w:r>
          </w:p>
        </w:tc>
        <w:tc>
          <w:tcPr>
            <w:tcW w:w="1039" w:type="dxa"/>
            <w:noWrap/>
            <w:hideMark/>
          </w:tcPr>
          <w:p w14:paraId="5555338B" w14:textId="77777777" w:rsidR="00BB3AA6" w:rsidRPr="00376DB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74</w:t>
            </w:r>
          </w:p>
        </w:tc>
      </w:tr>
      <w:tr w:rsidR="00BB3AA6" w:rsidRPr="0098416C" w14:paraId="5ED74BC5" w14:textId="77777777" w:rsidTr="0060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6B23057D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Internets</w:t>
            </w:r>
          </w:p>
        </w:tc>
        <w:tc>
          <w:tcPr>
            <w:tcW w:w="1284" w:type="dxa"/>
            <w:noWrap/>
            <w:hideMark/>
          </w:tcPr>
          <w:p w14:paraId="39967383" w14:textId="77777777" w:rsidR="00BB3AA6" w:rsidRPr="00BA5B87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91,6</w:t>
            </w:r>
          </w:p>
        </w:tc>
        <w:tc>
          <w:tcPr>
            <w:tcW w:w="1039" w:type="dxa"/>
            <w:noWrap/>
            <w:hideMark/>
          </w:tcPr>
          <w:p w14:paraId="5BDA4008" w14:textId="77777777" w:rsidR="00BB3AA6" w:rsidRPr="00376DB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109</w:t>
            </w:r>
          </w:p>
        </w:tc>
      </w:tr>
      <w:tr w:rsidR="00BB3AA6" w:rsidRPr="0098416C" w14:paraId="372FDFD6" w14:textId="77777777" w:rsidTr="006069F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0482AEBE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Īpašas nozares vai tehnoloģiju organizētas nākotnes tehnoloģiju sesijas</w:t>
            </w:r>
          </w:p>
        </w:tc>
        <w:tc>
          <w:tcPr>
            <w:tcW w:w="1284" w:type="dxa"/>
            <w:noWrap/>
            <w:hideMark/>
          </w:tcPr>
          <w:p w14:paraId="24767143" w14:textId="77777777" w:rsidR="00BB3AA6" w:rsidRPr="00BA5B87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35,3</w:t>
            </w:r>
          </w:p>
        </w:tc>
        <w:tc>
          <w:tcPr>
            <w:tcW w:w="1039" w:type="dxa"/>
            <w:noWrap/>
            <w:hideMark/>
          </w:tcPr>
          <w:p w14:paraId="6EE3E0B1" w14:textId="77777777" w:rsidR="00BB3AA6" w:rsidRPr="00376DB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42</w:t>
            </w:r>
          </w:p>
        </w:tc>
      </w:tr>
      <w:tr w:rsidR="00BB3AA6" w:rsidRPr="0098416C" w14:paraId="557B2594" w14:textId="77777777" w:rsidTr="0060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7" w:type="dxa"/>
            <w:hideMark/>
          </w:tcPr>
          <w:p w14:paraId="42AAE032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Īpaši organizēti maksas tehnoloģisko tendenču pārskati</w:t>
            </w:r>
          </w:p>
        </w:tc>
        <w:tc>
          <w:tcPr>
            <w:tcW w:w="1284" w:type="dxa"/>
            <w:noWrap/>
            <w:hideMark/>
          </w:tcPr>
          <w:p w14:paraId="3067B4A2" w14:textId="77777777" w:rsidR="00BB3AA6" w:rsidRPr="00BA5B87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13,5</w:t>
            </w:r>
          </w:p>
        </w:tc>
        <w:tc>
          <w:tcPr>
            <w:tcW w:w="1039" w:type="dxa"/>
            <w:noWrap/>
            <w:hideMark/>
          </w:tcPr>
          <w:p w14:paraId="158975DC" w14:textId="77777777" w:rsidR="00BB3AA6" w:rsidRPr="00376DB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i w:val="0"/>
              </w:rPr>
              <w:t>16</w:t>
            </w:r>
          </w:p>
        </w:tc>
      </w:tr>
      <w:tr w:rsidR="00BB3AA6" w:rsidRPr="0098416C" w14:paraId="7036474A" w14:textId="77777777" w:rsidTr="006069F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2"/>
            <w:hideMark/>
          </w:tcPr>
          <w:p w14:paraId="705D827E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Cits (lūdzu, norādiet)</w:t>
            </w:r>
          </w:p>
        </w:tc>
        <w:tc>
          <w:tcPr>
            <w:tcW w:w="1039" w:type="dxa"/>
            <w:noWrap/>
            <w:hideMark/>
          </w:tcPr>
          <w:p w14:paraId="4E6412E9" w14:textId="77777777" w:rsidR="00BB3AA6" w:rsidRPr="00376DB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5</w:t>
            </w:r>
          </w:p>
        </w:tc>
      </w:tr>
      <w:tr w:rsidR="00BB3AA6" w:rsidRPr="0098416C" w14:paraId="38295060" w14:textId="77777777" w:rsidTr="00606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2"/>
            <w:noWrap/>
            <w:hideMark/>
          </w:tcPr>
          <w:p w14:paraId="6D59C922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Atbildēja uz jautājumu</w:t>
            </w:r>
          </w:p>
        </w:tc>
        <w:tc>
          <w:tcPr>
            <w:tcW w:w="1039" w:type="dxa"/>
            <w:noWrap/>
            <w:hideMark/>
          </w:tcPr>
          <w:p w14:paraId="288602E2" w14:textId="77777777" w:rsidR="00BB3AA6" w:rsidRPr="00376DB0" w:rsidRDefault="00BB3AA6" w:rsidP="008813A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119</w:t>
            </w:r>
          </w:p>
        </w:tc>
      </w:tr>
      <w:tr w:rsidR="00BB3AA6" w:rsidRPr="0098416C" w14:paraId="40176278" w14:textId="77777777" w:rsidTr="006069F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2"/>
            <w:noWrap/>
            <w:hideMark/>
          </w:tcPr>
          <w:p w14:paraId="23FD362A" w14:textId="77777777" w:rsidR="00BB3AA6" w:rsidRPr="00BA5B87" w:rsidRDefault="00BB3AA6" w:rsidP="008813A0">
            <w:pPr>
              <w:pStyle w:val="TableText"/>
              <w:rPr>
                <w:rFonts w:eastAsia="Times New Roman"/>
                <w:b w:val="0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Izlaida šo jautājumu</w:t>
            </w:r>
          </w:p>
        </w:tc>
        <w:tc>
          <w:tcPr>
            <w:tcW w:w="1039" w:type="dxa"/>
            <w:noWrap/>
            <w:hideMark/>
          </w:tcPr>
          <w:p w14:paraId="4413A114" w14:textId="77777777" w:rsidR="00BB3AA6" w:rsidRPr="00376DB0" w:rsidRDefault="00BB3AA6" w:rsidP="008813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lv-LV"/>
              </w:rPr>
            </w:pPr>
            <w:r w:rsidRPr="008813A0">
              <w:rPr>
                <w:rFonts w:eastAsia="Times New Roman"/>
                <w:i w:val="0"/>
                <w:lang w:eastAsia="lv-LV"/>
              </w:rPr>
              <w:t>4</w:t>
            </w:r>
          </w:p>
        </w:tc>
      </w:tr>
    </w:tbl>
    <w:p w14:paraId="5C296624" w14:textId="77777777" w:rsidR="00805D03" w:rsidRDefault="00805D03" w:rsidP="007E3CC3">
      <w:pPr>
        <w:pStyle w:val="Caption"/>
      </w:pPr>
      <w:bookmarkStart w:id="11" w:name="_Ref360458551"/>
      <w:bookmarkStart w:id="12" w:name="_Ref365965560"/>
    </w:p>
    <w:p w14:paraId="3B405708" w14:textId="77777777" w:rsidR="00805D03" w:rsidRDefault="00805D03" w:rsidP="00805D03">
      <w:pPr>
        <w:rPr>
          <w:color w:val="44546A" w:themeColor="text2"/>
        </w:rPr>
      </w:pPr>
      <w:r>
        <w:br w:type="page"/>
      </w:r>
    </w:p>
    <w:p w14:paraId="2E57B396" w14:textId="77777777" w:rsidR="00BD2C57" w:rsidRPr="008813A0" w:rsidRDefault="0063730E" w:rsidP="007E3CC3">
      <w:pPr>
        <w:pStyle w:val="Caption"/>
      </w:pPr>
      <w:r w:rsidRPr="007E3CC3">
        <w:rPr>
          <w:i w:val="0"/>
        </w:rPr>
        <w:fldChar w:fldCharType="begin"/>
      </w:r>
      <w:r w:rsidR="00BE7FAA" w:rsidRPr="007E3CC3">
        <w:rPr>
          <w:i w:val="0"/>
        </w:rPr>
        <w:instrText xml:space="preserve"> SEQ Ilustrācija \* ARABIC </w:instrText>
      </w:r>
      <w:r w:rsidRPr="007E3CC3">
        <w:rPr>
          <w:i w:val="0"/>
        </w:rPr>
        <w:fldChar w:fldCharType="separate"/>
      </w:r>
      <w:bookmarkStart w:id="13" w:name="_Ref367993133"/>
      <w:r w:rsidR="0098416C" w:rsidRPr="007E3CC3">
        <w:rPr>
          <w:i w:val="0"/>
          <w:noProof/>
        </w:rPr>
        <w:t>3</w:t>
      </w:r>
      <w:bookmarkEnd w:id="13"/>
      <w:r w:rsidRPr="007E3CC3">
        <w:rPr>
          <w:i w:val="0"/>
        </w:rPr>
        <w:fldChar w:fldCharType="end"/>
      </w:r>
      <w:r w:rsidR="0098416C" w:rsidRPr="007E3CC3">
        <w:rPr>
          <w:i w:val="0"/>
        </w:rPr>
        <w:t>.</w:t>
      </w:r>
      <w:r w:rsidR="00B53AEA" w:rsidRPr="007E3CC3">
        <w:rPr>
          <w:i w:val="0"/>
        </w:rPr>
        <w:t>ilustrācija</w:t>
      </w:r>
      <w:bookmarkEnd w:id="11"/>
      <w:r w:rsidR="00B53AEA" w:rsidRPr="007E3CC3">
        <w:rPr>
          <w:i w:val="0"/>
        </w:rPr>
        <w:t>.</w:t>
      </w:r>
      <w:r w:rsidR="00B53AEA" w:rsidRPr="008813A0">
        <w:t xml:space="preserve"> Inovāciju šķēršļu novērtējums</w:t>
      </w:r>
      <w:bookmarkEnd w:id="12"/>
    </w:p>
    <w:p w14:paraId="7591479F" w14:textId="77777777" w:rsidR="00BB3AA6" w:rsidRPr="0078531A" w:rsidRDefault="00FF2F94" w:rsidP="008813A0">
      <w:pPr>
        <w:pStyle w:val="FigureStyle"/>
      </w:pPr>
      <w:r>
        <w:rPr>
          <w:lang w:val="lv-LV" w:eastAsia="lv-LV"/>
        </w:rPr>
        <w:drawing>
          <wp:inline distT="0" distB="0" distL="0" distR="0" wp14:anchorId="18453DAD" wp14:editId="335BD790">
            <wp:extent cx="5724525" cy="5857875"/>
            <wp:effectExtent l="0" t="0" r="952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759F90" w14:textId="77777777" w:rsidR="001E343A" w:rsidRDefault="0024286F" w:rsidP="0098416C">
      <w:r w:rsidRPr="0098416C">
        <w:t xml:space="preserve">12.jautājumā tika noskaidroti iespējamie šķēršļi inovācijām aptaujātajā uzņēmumā. 68% </w:t>
      </w:r>
      <w:r w:rsidR="00CE2744" w:rsidRPr="0098416C">
        <w:t xml:space="preserve">respondentu </w:t>
      </w:r>
      <w:r w:rsidRPr="0098416C">
        <w:t>kā būtisku apgrūtinājumu norād</w:t>
      </w:r>
      <w:r w:rsidR="003F210F" w:rsidRPr="0098416C">
        <w:t>a</w:t>
      </w:r>
      <w:r w:rsidRPr="0098416C">
        <w:t xml:space="preserve"> pārāk augstās nepieciešamās investīcijas līdz ražošanas uzsākšanai, 59% </w:t>
      </w:r>
      <w:r w:rsidR="003F210F" w:rsidRPr="0098416C">
        <w:t xml:space="preserve">− </w:t>
      </w:r>
      <w:r w:rsidRPr="0098416C">
        <w:t>kvalificēta personāla trūkumu</w:t>
      </w:r>
      <w:r w:rsidR="00CE2744" w:rsidRPr="0098416C">
        <w:t>,</w:t>
      </w:r>
      <w:r w:rsidRPr="0098416C">
        <w:t xml:space="preserve"> 57%</w:t>
      </w:r>
      <w:r w:rsidR="00CE2744" w:rsidRPr="0098416C">
        <w:t xml:space="preserve"> respondentu </w:t>
      </w:r>
      <w:r w:rsidR="0098416C">
        <w:t>nosauc</w:t>
      </w:r>
      <w:r w:rsidR="0098416C" w:rsidRPr="008813A0">
        <w:t xml:space="preserve"> </w:t>
      </w:r>
      <w:r w:rsidRPr="0098416C">
        <w:t>augstu jaunu produktu</w:t>
      </w:r>
      <w:r w:rsidR="003F210F" w:rsidRPr="0098416C">
        <w:t xml:space="preserve"> vai </w:t>
      </w:r>
      <w:r w:rsidRPr="0098416C">
        <w:t xml:space="preserve">pakalpojumu pārdošanas risku </w:t>
      </w:r>
      <w:r w:rsidR="000A6764" w:rsidRPr="0098416C">
        <w:t>(</w:t>
      </w:r>
      <w:r w:rsidR="0098416C" w:rsidRPr="0098416C">
        <w:t xml:space="preserve">skatīt </w:t>
      </w:r>
      <w:r w:rsidR="0016441C">
        <w:fldChar w:fldCharType="begin"/>
      </w:r>
      <w:r w:rsidR="0016441C">
        <w:instrText xml:space="preserve"> REF _Ref367993133 \h  \* MERGEFORMAT </w:instrText>
      </w:r>
      <w:r w:rsidR="0016441C">
        <w:fldChar w:fldCharType="separate"/>
      </w:r>
      <w:r w:rsidR="0098416C" w:rsidRPr="0098416C">
        <w:t>3</w:t>
      </w:r>
      <w:r w:rsidR="0016441C">
        <w:fldChar w:fldCharType="end"/>
      </w:r>
      <w:r w:rsidR="0098416C" w:rsidRPr="0098416C">
        <w:t>.</w:t>
      </w:r>
      <w:r w:rsidR="000A6764" w:rsidRPr="0098416C">
        <w:t>ilustrācij</w:t>
      </w:r>
      <w:r w:rsidR="0098416C" w:rsidRPr="0098416C">
        <w:t>u)</w:t>
      </w:r>
      <w:r w:rsidR="000A6764" w:rsidRPr="0098416C">
        <w:t xml:space="preserve">. </w:t>
      </w:r>
      <w:r w:rsidR="00B53AEA" w:rsidRPr="008813A0">
        <w:t>15% respondentu atz</w:t>
      </w:r>
      <w:r w:rsidR="003F210F" w:rsidRPr="008813A0">
        <w:t>īst</w:t>
      </w:r>
      <w:r w:rsidR="00C9336C">
        <w:t>,</w:t>
      </w:r>
      <w:r w:rsidR="007372AC" w:rsidRPr="0098416C">
        <w:t xml:space="preserve"> ka</w:t>
      </w:r>
      <w:r w:rsidR="00B53AEA" w:rsidRPr="008813A0">
        <w:t xml:space="preserve"> pārāk augstās nepieciešamās investīcijas </w:t>
      </w:r>
      <w:r w:rsidR="007372AC" w:rsidRPr="0098416C">
        <w:t>ir</w:t>
      </w:r>
      <w:r w:rsidR="00B53AEA" w:rsidRPr="008813A0">
        <w:t xml:space="preserve"> nepārvaram</w:t>
      </w:r>
      <w:r w:rsidR="007372AC" w:rsidRPr="0098416C">
        <w:t>a</w:t>
      </w:r>
      <w:r w:rsidR="00B53AEA" w:rsidRPr="008813A0">
        <w:t xml:space="preserve"> problēm</w:t>
      </w:r>
      <w:r w:rsidR="007372AC" w:rsidRPr="0098416C">
        <w:t>a</w:t>
      </w:r>
      <w:r w:rsidR="00B53AEA" w:rsidRPr="008813A0">
        <w:t xml:space="preserve"> inovāciju veicināšanā</w:t>
      </w:r>
      <w:r w:rsidR="00034DDC" w:rsidRPr="0098416C">
        <w:t>,</w:t>
      </w:r>
      <w:r w:rsidR="00B53AEA" w:rsidRPr="008813A0">
        <w:t xml:space="preserve"> 11% par nepārvaramu problēmu uzskata nelielo vietējo tirgu, </w:t>
      </w:r>
      <w:r w:rsidR="00105C2F" w:rsidRPr="0098416C">
        <w:t>t</w:t>
      </w:r>
      <w:r w:rsidR="00B53AEA" w:rsidRPr="008813A0">
        <w:t xml:space="preserve">ādēļ nepieciešams iekarot eksporta tirgu, lai atpelnītu investīcijas (50% respondentu šo </w:t>
      </w:r>
      <w:r w:rsidR="0098416C" w:rsidRPr="008813A0">
        <w:t xml:space="preserve">atzīst </w:t>
      </w:r>
      <w:r w:rsidR="00B53AEA" w:rsidRPr="008813A0">
        <w:t>par būtisku apgrūtinājumu).</w:t>
      </w:r>
    </w:p>
    <w:p w14:paraId="78773A71" w14:textId="77777777" w:rsidR="003A376E" w:rsidRDefault="003F210F" w:rsidP="0098416C">
      <w:r>
        <w:t xml:space="preserve">13.jautājumā </w:t>
      </w:r>
      <w:r w:rsidR="003A376E" w:rsidRPr="0078531A">
        <w:t>noskaidroti nepieciešamie valsts atbalsta pasākumi tāl</w:t>
      </w:r>
      <w:r w:rsidR="000F5B27">
        <w:t>ākai biznesa attīstībai. K</w:t>
      </w:r>
      <w:r w:rsidR="003A376E" w:rsidRPr="0078531A">
        <w:t xml:space="preserve">atrs respondents </w:t>
      </w:r>
      <w:r>
        <w:t>varēja sniegt vairākas atbildes. K</w:t>
      </w:r>
      <w:r w:rsidR="003A376E" w:rsidRPr="0078531A">
        <w:t xml:space="preserve">opā tika saņemti 285 norādījumi iespējamajam valsts atbalstam. Vislielākais atbilžu skaits saistīts ar valsts atbalstu </w:t>
      </w:r>
      <w:r w:rsidR="00CB2FAD">
        <w:t xml:space="preserve">pielietojamās zinātnes </w:t>
      </w:r>
      <w:r w:rsidR="003A376E" w:rsidRPr="0078531A">
        <w:t xml:space="preserve">veicināšanā </w:t>
      </w:r>
      <w:r w:rsidR="003A376E">
        <w:t>−</w:t>
      </w:r>
      <w:r>
        <w:t xml:space="preserve"> 46 atbildes. 45 atbildes norāda</w:t>
      </w:r>
      <w:r w:rsidR="003A376E" w:rsidRPr="0078531A">
        <w:t xml:space="preserve"> uz finansējuma piesaisti, kuras atvieglošanā būtu nepieciešams valsts atbalsts. 43 atbildes saistītas ar valsts atbalstu tehnoloģiju iegādei</w:t>
      </w:r>
      <w:r w:rsidR="003A376E">
        <w:t>,</w:t>
      </w:r>
      <w:r w:rsidR="003A376E" w:rsidRPr="0078531A">
        <w:t xml:space="preserve"> 37 </w:t>
      </w:r>
      <w:r>
        <w:t xml:space="preserve">− </w:t>
      </w:r>
      <w:r w:rsidR="003A376E" w:rsidRPr="0078531A">
        <w:t>ar izglītības kvalitātes uzlabošanu. Tā kā atbildes uz šo jautājumu bija iespējams sniegt brīvā veidā, re</w:t>
      </w:r>
      <w:r>
        <w:t>spondenti norāda</w:t>
      </w:r>
      <w:r w:rsidR="003A376E" w:rsidRPr="0078531A">
        <w:t xml:space="preserve"> arī konkrētam uzņēmumam </w:t>
      </w:r>
      <w:r w:rsidRPr="0078531A">
        <w:t xml:space="preserve">26 </w:t>
      </w:r>
      <w:r w:rsidR="003A376E" w:rsidRPr="0078531A">
        <w:t>specifiskas vajadzības (</w:t>
      </w:r>
      <w:r w:rsidR="0098416C" w:rsidRPr="00BA5B87">
        <w:t xml:space="preserve">skatīt </w:t>
      </w:r>
      <w:r w:rsidR="0098416C" w:rsidRPr="008813A0">
        <w:t>4</w:t>
      </w:r>
      <w:r w:rsidR="00B35901" w:rsidRPr="008813A0">
        <w:t>.</w:t>
      </w:r>
      <w:r w:rsidR="00B53AEA" w:rsidRPr="00BA5B87">
        <w:t>ilustrācija</w:t>
      </w:r>
      <w:r w:rsidR="00034DDC">
        <w:t>). A</w:t>
      </w:r>
      <w:r w:rsidR="003A376E" w:rsidRPr="0078531A">
        <w:t>pkopotas arī 28 atbildes, kas saistītas ar vietējās uzņēmējdarbības vides uzlabošanu, ietverot gan administratīvā sloga samazināšanu, gan ekonomikas politikas uzlabošanu.</w:t>
      </w:r>
    </w:p>
    <w:p w14:paraId="1109E6CE" w14:textId="77777777" w:rsidR="00156F20" w:rsidRPr="0098416C" w:rsidRDefault="0063730E" w:rsidP="007E3CC3">
      <w:pPr>
        <w:pStyle w:val="Caption"/>
      </w:pPr>
      <w:r w:rsidRPr="007E3CC3">
        <w:rPr>
          <w:i w:val="0"/>
        </w:rPr>
        <w:fldChar w:fldCharType="begin"/>
      </w:r>
      <w:r w:rsidR="00722636" w:rsidRPr="007E3CC3">
        <w:rPr>
          <w:i w:val="0"/>
        </w:rPr>
        <w:instrText xml:space="preserve"> SEQ Ilustrācija \* ARABIC </w:instrText>
      </w:r>
      <w:r w:rsidRPr="007E3CC3">
        <w:rPr>
          <w:i w:val="0"/>
        </w:rPr>
        <w:fldChar w:fldCharType="separate"/>
      </w:r>
      <w:r w:rsidR="0098416C" w:rsidRPr="007E3CC3">
        <w:rPr>
          <w:i w:val="0"/>
          <w:noProof/>
        </w:rPr>
        <w:t>4</w:t>
      </w:r>
      <w:r w:rsidRPr="007E3CC3">
        <w:rPr>
          <w:i w:val="0"/>
          <w:noProof/>
        </w:rPr>
        <w:fldChar w:fldCharType="end"/>
      </w:r>
      <w:r w:rsidR="0098416C" w:rsidRPr="007E3CC3">
        <w:rPr>
          <w:i w:val="0"/>
        </w:rPr>
        <w:t>.ilustrācija.</w:t>
      </w:r>
      <w:r w:rsidR="0098416C">
        <w:t xml:space="preserve"> </w:t>
      </w:r>
      <w:r w:rsidR="00B53AEA" w:rsidRPr="0098416C">
        <w:t>Valsts atbalsts biznesa attīstībai</w:t>
      </w:r>
    </w:p>
    <w:p w14:paraId="43E83A16" w14:textId="77777777" w:rsidR="00BB3AA6" w:rsidRPr="0078531A" w:rsidRDefault="00BB3AA6" w:rsidP="008813A0">
      <w:pPr>
        <w:pStyle w:val="FigureStyle"/>
      </w:pPr>
      <w:r w:rsidRPr="0078531A">
        <w:rPr>
          <w:lang w:val="lv-LV" w:eastAsia="lv-LV"/>
        </w:rPr>
        <w:drawing>
          <wp:inline distT="0" distB="0" distL="0" distR="0" wp14:anchorId="65696E40" wp14:editId="18B77D45">
            <wp:extent cx="5786323" cy="3251835"/>
            <wp:effectExtent l="19050" t="0" r="23927" b="571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09423F" w14:textId="77777777" w:rsidR="00C9336C" w:rsidRDefault="003F210F" w:rsidP="007E3CC3">
      <w:r>
        <w:t>14.</w:t>
      </w:r>
      <w:r w:rsidR="00B35901" w:rsidRPr="0078531A">
        <w:t>jautājums identificēja tos faktorus, ko uzņēmēji uzskata par savām galvenajām priekšrocībām attiecībā pret saviem konkure</w:t>
      </w:r>
      <w:r w:rsidR="00CB2FAD">
        <w:t>ntiem ārpus Latvijas.</w:t>
      </w:r>
    </w:p>
    <w:p w14:paraId="613F4613" w14:textId="77777777" w:rsidR="00B35901" w:rsidRDefault="003F210F" w:rsidP="007E3CC3">
      <w:r>
        <w:t>22% respondentu nosauc</w:t>
      </w:r>
      <w:r w:rsidR="00B35901" w:rsidRPr="0078531A">
        <w:t xml:space="preserve"> cilvēkresursu kvalitāti, 23% </w:t>
      </w:r>
      <w:r>
        <w:t xml:space="preserve">− </w:t>
      </w:r>
      <w:r w:rsidR="00B35901" w:rsidRPr="0078531A">
        <w:t xml:space="preserve">ģeogrāfisko novietojumu, 15% </w:t>
      </w:r>
      <w:r>
        <w:t xml:space="preserve">− </w:t>
      </w:r>
      <w:r w:rsidR="00B35901" w:rsidRPr="0078531A">
        <w:t xml:space="preserve">zemi un mežus kā resursu. 12% </w:t>
      </w:r>
      <w:r>
        <w:t xml:space="preserve">respondentu </w:t>
      </w:r>
      <w:r w:rsidRPr="0078531A">
        <w:t>kā savu priekšrocību</w:t>
      </w:r>
      <w:r>
        <w:t xml:space="preserve"> norāda</w:t>
      </w:r>
      <w:r w:rsidR="00B35901" w:rsidRPr="0078531A">
        <w:t xml:space="preserve"> salīdzinoši zemās cilvēkresursu izmaksas</w:t>
      </w:r>
      <w:r>
        <w:t>, 11% respondentu norāda</w:t>
      </w:r>
      <w:r w:rsidR="00B35901" w:rsidRPr="0078531A">
        <w:t xml:space="preserve"> konkrētam uzņēmumam specifiskas priekšrocības (</w:t>
      </w:r>
      <w:r w:rsidR="0098416C">
        <w:t xml:space="preserve">skatīt </w:t>
      </w:r>
      <w:r w:rsidR="0063730E">
        <w:fldChar w:fldCharType="begin"/>
      </w:r>
      <w:r w:rsidR="0098416C">
        <w:instrText xml:space="preserve"> REF _Ref367993642 \h </w:instrText>
      </w:r>
      <w:r w:rsidR="0063730E">
        <w:fldChar w:fldCharType="separate"/>
      </w:r>
      <w:r w:rsidR="0098416C">
        <w:rPr>
          <w:noProof/>
        </w:rPr>
        <w:t>5</w:t>
      </w:r>
      <w:r w:rsidR="0063730E">
        <w:fldChar w:fldCharType="end"/>
      </w:r>
      <w:r w:rsidR="0098416C">
        <w:t>.</w:t>
      </w:r>
      <w:r w:rsidR="00B35901" w:rsidRPr="0098416C">
        <w:t>ilustrācij</w:t>
      </w:r>
      <w:r w:rsidR="0098416C">
        <w:t>u</w:t>
      </w:r>
      <w:r w:rsidR="00B35901" w:rsidRPr="0078531A">
        <w:t>).</w:t>
      </w:r>
    </w:p>
    <w:bookmarkStart w:id="14" w:name="_Ref360459619"/>
    <w:p w14:paraId="537022EA" w14:textId="77777777" w:rsidR="002D2D03" w:rsidRPr="0098416C" w:rsidRDefault="0063730E" w:rsidP="007E3CC3">
      <w:pPr>
        <w:pStyle w:val="Caption"/>
      </w:pPr>
      <w:r w:rsidRPr="007E3CC3">
        <w:rPr>
          <w:i w:val="0"/>
        </w:rPr>
        <w:fldChar w:fldCharType="begin"/>
      </w:r>
      <w:r w:rsidR="0098416C" w:rsidRPr="007E3CC3">
        <w:rPr>
          <w:i w:val="0"/>
        </w:rPr>
        <w:instrText xml:space="preserve"> SEQ Ilustrācija \* ARABIC </w:instrText>
      </w:r>
      <w:r w:rsidRPr="007E3CC3">
        <w:rPr>
          <w:i w:val="0"/>
        </w:rPr>
        <w:fldChar w:fldCharType="separate"/>
      </w:r>
      <w:bookmarkStart w:id="15" w:name="_Ref367993642"/>
      <w:r w:rsidR="0098416C" w:rsidRPr="007E3CC3">
        <w:rPr>
          <w:i w:val="0"/>
          <w:noProof/>
        </w:rPr>
        <w:t>5</w:t>
      </w:r>
      <w:bookmarkEnd w:id="15"/>
      <w:r w:rsidRPr="007E3CC3">
        <w:rPr>
          <w:i w:val="0"/>
        </w:rPr>
        <w:fldChar w:fldCharType="end"/>
      </w:r>
      <w:r w:rsidR="0098416C" w:rsidRPr="007E3CC3">
        <w:rPr>
          <w:i w:val="0"/>
        </w:rPr>
        <w:t>.ilustrācija</w:t>
      </w:r>
      <w:bookmarkEnd w:id="14"/>
      <w:r w:rsidR="00B53AEA" w:rsidRPr="007E3CC3">
        <w:rPr>
          <w:i w:val="0"/>
        </w:rPr>
        <w:t>.</w:t>
      </w:r>
      <w:r w:rsidR="00B53AEA" w:rsidRPr="0098416C">
        <w:t xml:space="preserve"> </w:t>
      </w:r>
      <w:r w:rsidR="0098416C">
        <w:t>P</w:t>
      </w:r>
      <w:r w:rsidR="00B53AEA" w:rsidRPr="0098416C">
        <w:t>riekšrocības, salīdzinot ar saviem konkurentiem ārpus Latvijas</w:t>
      </w:r>
    </w:p>
    <w:p w14:paraId="0FF846F3" w14:textId="77777777" w:rsidR="00BB3AA6" w:rsidRPr="0078531A" w:rsidRDefault="00BB3AA6" w:rsidP="008813A0">
      <w:pPr>
        <w:pStyle w:val="FigureStyle"/>
      </w:pPr>
      <w:r w:rsidRPr="0078531A">
        <w:rPr>
          <w:lang w:val="lv-LV" w:eastAsia="lv-LV"/>
        </w:rPr>
        <w:drawing>
          <wp:inline distT="0" distB="0" distL="0" distR="0" wp14:anchorId="524D88BF" wp14:editId="0383E893">
            <wp:extent cx="5779008" cy="3235706"/>
            <wp:effectExtent l="19050" t="0" r="12192" b="2794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2C686E2" w14:textId="77777777" w:rsidR="00B53AEA" w:rsidRDefault="00B35901" w:rsidP="0098416C">
      <w:r w:rsidRPr="0078531A">
        <w:t>15. jautājumā bija jānosauc galvenie faktori, kas rada uzņēmumiem nelabvēlīgākus apstākļus</w:t>
      </w:r>
      <w:r>
        <w:t>, salīdzinot ar</w:t>
      </w:r>
      <w:r w:rsidRPr="0078531A">
        <w:t xml:space="preserve"> konkuren</w:t>
      </w:r>
      <w:r w:rsidR="00034DDC">
        <w:t>tiem ārpus Latvijas. 29% respondentu</w:t>
      </w:r>
      <w:r w:rsidRPr="0078531A">
        <w:t xml:space="preserve"> </w:t>
      </w:r>
      <w:r w:rsidR="00B53AEA" w:rsidRPr="003F210F">
        <w:t>identificē</w:t>
      </w:r>
      <w:r w:rsidR="003F210F">
        <w:t xml:space="preserve"> </w:t>
      </w:r>
      <w:r w:rsidRPr="0078531A">
        <w:t xml:space="preserve">nodokļu sistēmu, 23% </w:t>
      </w:r>
      <w:r w:rsidR="00034DDC">
        <w:t xml:space="preserve">respondentu </w:t>
      </w:r>
      <w:r w:rsidR="00B53AEA" w:rsidRPr="00B25F61">
        <w:t>norād</w:t>
      </w:r>
      <w:r w:rsidR="00B25F61" w:rsidRPr="00B25F61">
        <w:t>a</w:t>
      </w:r>
      <w:r w:rsidR="00B25F61">
        <w:t xml:space="preserve"> </w:t>
      </w:r>
      <w:r w:rsidRPr="0078531A">
        <w:t xml:space="preserve">nepietiekamos cilvēkresursus, 21% </w:t>
      </w:r>
      <w:r w:rsidR="00B25F61">
        <w:t xml:space="preserve">− </w:t>
      </w:r>
      <w:r w:rsidRPr="0078531A">
        <w:t>ražošanas izmaksas (</w:t>
      </w:r>
      <w:r w:rsidR="0098416C">
        <w:t xml:space="preserve">skatīt </w:t>
      </w:r>
      <w:r w:rsidR="0063730E">
        <w:fldChar w:fldCharType="begin"/>
      </w:r>
      <w:r w:rsidR="0098416C">
        <w:instrText xml:space="preserve"> REF _Ref367993757 \h </w:instrText>
      </w:r>
      <w:r w:rsidR="0063730E">
        <w:fldChar w:fldCharType="separate"/>
      </w:r>
      <w:r w:rsidR="0098416C">
        <w:rPr>
          <w:noProof/>
        </w:rPr>
        <w:t>6</w:t>
      </w:r>
      <w:r w:rsidR="0063730E">
        <w:fldChar w:fldCharType="end"/>
      </w:r>
      <w:r>
        <w:t>.</w:t>
      </w:r>
      <w:r w:rsidR="0016441C">
        <w:fldChar w:fldCharType="begin"/>
      </w:r>
      <w:r w:rsidR="0016441C">
        <w:instrText xml:space="preserve"> REF _Ref360459601 \h  \* MERGEFORMAT </w:instrText>
      </w:r>
      <w:r w:rsidR="0016441C">
        <w:fldChar w:fldCharType="separate"/>
      </w:r>
      <w:r>
        <w:t>i</w:t>
      </w:r>
      <w:r w:rsidRPr="0078531A">
        <w:t>lustrācij</w:t>
      </w:r>
      <w:r w:rsidR="0098416C">
        <w:t>u</w:t>
      </w:r>
      <w:r w:rsidRPr="0078531A">
        <w:t xml:space="preserve"> </w:t>
      </w:r>
      <w:r w:rsidR="0016441C">
        <w:fldChar w:fldCharType="end"/>
      </w:r>
      <w:r w:rsidRPr="0078531A">
        <w:t>).</w:t>
      </w:r>
    </w:p>
    <w:p w14:paraId="55316531" w14:textId="77777777" w:rsidR="00B35901" w:rsidRPr="0078531A" w:rsidRDefault="00B35901" w:rsidP="0098416C"/>
    <w:p w14:paraId="6303E184" w14:textId="77777777" w:rsidR="002D2D03" w:rsidRPr="0098416C" w:rsidRDefault="0063730E" w:rsidP="007E3CC3">
      <w:pPr>
        <w:pStyle w:val="Caption"/>
      </w:pPr>
      <w:r w:rsidRPr="007E3CC3">
        <w:rPr>
          <w:i w:val="0"/>
        </w:rPr>
        <w:fldChar w:fldCharType="begin"/>
      </w:r>
      <w:r w:rsidR="00722636" w:rsidRPr="007E3CC3">
        <w:rPr>
          <w:i w:val="0"/>
        </w:rPr>
        <w:instrText xml:space="preserve"> SEQ Ilustrācija \* ARABIC </w:instrText>
      </w:r>
      <w:r w:rsidRPr="007E3CC3">
        <w:rPr>
          <w:i w:val="0"/>
        </w:rPr>
        <w:fldChar w:fldCharType="separate"/>
      </w:r>
      <w:bookmarkStart w:id="16" w:name="_Ref367993757"/>
      <w:r w:rsidR="0098416C" w:rsidRPr="007E3CC3">
        <w:rPr>
          <w:i w:val="0"/>
          <w:noProof/>
        </w:rPr>
        <w:t>6</w:t>
      </w:r>
      <w:bookmarkEnd w:id="16"/>
      <w:r w:rsidRPr="007E3CC3">
        <w:rPr>
          <w:i w:val="0"/>
          <w:noProof/>
        </w:rPr>
        <w:fldChar w:fldCharType="end"/>
      </w:r>
      <w:r w:rsidR="0098416C" w:rsidRPr="007E3CC3">
        <w:rPr>
          <w:i w:val="0"/>
        </w:rPr>
        <w:t>.ilustrācija.</w:t>
      </w:r>
      <w:r w:rsidR="0098416C">
        <w:t xml:space="preserve"> </w:t>
      </w:r>
      <w:r w:rsidR="00B53AEA" w:rsidRPr="0098416C">
        <w:t>Faktori, kas veido neizdevīgāku situāciju salīdzinājumā ar konkurentiem</w:t>
      </w:r>
    </w:p>
    <w:p w14:paraId="26EF6131" w14:textId="77777777" w:rsidR="00BB3AA6" w:rsidRPr="0078531A" w:rsidRDefault="00BB3AA6" w:rsidP="008813A0">
      <w:pPr>
        <w:pStyle w:val="FigureStyle"/>
      </w:pPr>
      <w:r w:rsidRPr="0078531A">
        <w:rPr>
          <w:lang w:val="lv-LV" w:eastAsia="lv-LV"/>
        </w:rPr>
        <w:drawing>
          <wp:inline distT="0" distB="0" distL="0" distR="0" wp14:anchorId="767DF311" wp14:editId="58E2BEB2">
            <wp:extent cx="5274310" cy="3427730"/>
            <wp:effectExtent l="19050" t="0" r="21590" b="127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8705F48" w14:textId="77777777" w:rsidR="00BB3AA6" w:rsidRPr="0078531A" w:rsidRDefault="00B35901" w:rsidP="0098416C">
      <w:r>
        <w:t xml:space="preserve">Atbildot uz </w:t>
      </w:r>
      <w:r w:rsidR="00BB3AA6" w:rsidRPr="0078531A">
        <w:t>16.</w:t>
      </w:r>
      <w:r>
        <w:t>j</w:t>
      </w:r>
      <w:r w:rsidR="00BB3AA6" w:rsidRPr="0078531A">
        <w:t>autājum</w:t>
      </w:r>
      <w:r>
        <w:t>u,</w:t>
      </w:r>
      <w:r w:rsidR="00BB3AA6" w:rsidRPr="0078531A">
        <w:t xml:space="preserve"> </w:t>
      </w:r>
      <w:r w:rsidR="00B25F61">
        <w:t>respondenti</w:t>
      </w:r>
      <w:r w:rsidR="00BB3AA6" w:rsidRPr="0078531A">
        <w:t xml:space="preserve"> </w:t>
      </w:r>
      <w:r w:rsidR="00B53AEA" w:rsidRPr="008813A0">
        <w:t>norād</w:t>
      </w:r>
      <w:r w:rsidR="00B25F61" w:rsidRPr="008813A0">
        <w:t>a</w:t>
      </w:r>
      <w:r w:rsidR="00DB1DEB" w:rsidRPr="008813A0">
        <w:t xml:space="preserve"> </w:t>
      </w:r>
      <w:r w:rsidR="00BB3AA6" w:rsidRPr="0078531A">
        <w:t xml:space="preserve">uz tiem finanšu atbalsta veidiem, kas sekmētu jaunu produktu un pakalpojumu attīstību konkrētajā uzņēmumā. 87% respondentu kā efektīvu atbalsta mehānismu </w:t>
      </w:r>
      <w:r w:rsidR="00B25F61" w:rsidRPr="008813A0">
        <w:t>nosauc</w:t>
      </w:r>
      <w:r w:rsidR="00DB1DEB">
        <w:t xml:space="preserve"> </w:t>
      </w:r>
      <w:r w:rsidR="00BB3AA6" w:rsidRPr="0078531A">
        <w:t>finansējumu pētniecībai, daļēji finansējot pētniecības izdevumus, k</w:t>
      </w:r>
      <w:r w:rsidR="00B25F61">
        <w:t>as novirzīti</w:t>
      </w:r>
      <w:r w:rsidR="00BB3AA6" w:rsidRPr="0078531A">
        <w:t xml:space="preserve"> laboratorijām vai pētniecības institūtiem. 86% respondentu </w:t>
      </w:r>
      <w:r w:rsidR="00B53AEA" w:rsidRPr="00B25F61">
        <w:t>norād</w:t>
      </w:r>
      <w:r w:rsidR="00B25F61" w:rsidRPr="00B25F61">
        <w:t>a</w:t>
      </w:r>
      <w:r w:rsidR="003F763D">
        <w:t>,</w:t>
      </w:r>
      <w:r>
        <w:t xml:space="preserve"> ka</w:t>
      </w:r>
      <w:r w:rsidRPr="0078531A">
        <w:t xml:space="preserve"> </w:t>
      </w:r>
      <w:r w:rsidR="00BB3AA6" w:rsidRPr="0078531A">
        <w:t>potenciāli veiksmīg</w:t>
      </w:r>
      <w:r w:rsidR="000F5B27">
        <w:t>i</w:t>
      </w:r>
      <w:r w:rsidR="00BB3AA6" w:rsidRPr="0078531A">
        <w:t xml:space="preserve"> </w:t>
      </w:r>
      <w:r w:rsidR="00BB3AA6" w:rsidRPr="00F7429C">
        <w:t xml:space="preserve">atbalsta mehānismi </w:t>
      </w:r>
      <w:r w:rsidRPr="00DB1DEB">
        <w:t xml:space="preserve">ir </w:t>
      </w:r>
      <w:r w:rsidR="00BB3AA6" w:rsidRPr="00DB1DEB">
        <w:t>uzņēm</w:t>
      </w:r>
      <w:r w:rsidR="00850B5B" w:rsidRPr="00DB1DEB">
        <w:t>uma ienākumu nodokļu atlaides „pētniecības un a</w:t>
      </w:r>
      <w:r w:rsidR="00BB3AA6" w:rsidRPr="00DB1DEB">
        <w:t xml:space="preserve">ttīstības” izmaksām un arī </w:t>
      </w:r>
      <w:r w:rsidR="00B53AEA" w:rsidRPr="008813A0">
        <w:t>grantu</w:t>
      </w:r>
      <w:r w:rsidR="006F18F3" w:rsidRPr="006F18F3">
        <w:rPr>
          <w:i/>
        </w:rPr>
        <w:t xml:space="preserve"> </w:t>
      </w:r>
      <w:r w:rsidR="00BB3AA6" w:rsidRPr="0078531A">
        <w:t>nepieciešamīb</w:t>
      </w:r>
      <w:r>
        <w:t>a</w:t>
      </w:r>
      <w:r w:rsidR="00BB3AA6" w:rsidRPr="0078531A">
        <w:t xml:space="preserve"> kā </w:t>
      </w:r>
      <w:r w:rsidR="00B25F61">
        <w:t>valsts snie</w:t>
      </w:r>
      <w:r w:rsidR="000F5B27">
        <w:t xml:space="preserve">gta </w:t>
      </w:r>
      <w:r w:rsidR="00BB3AA6" w:rsidRPr="0078531A">
        <w:t>neatgriežam</w:t>
      </w:r>
      <w:r>
        <w:t>a</w:t>
      </w:r>
      <w:r w:rsidR="00BB3AA6" w:rsidRPr="0078531A">
        <w:t xml:space="preserve"> palīdzīb</w:t>
      </w:r>
      <w:r>
        <w:t>a</w:t>
      </w:r>
      <w:r w:rsidR="00BB3AA6" w:rsidRPr="0078531A">
        <w:t xml:space="preserve"> tikai pētniecības izdevumiem </w:t>
      </w:r>
      <w:r w:rsidR="000F5B27">
        <w:t>(</w:t>
      </w:r>
      <w:r w:rsidR="00DB1DEB">
        <w:t xml:space="preserve">skatīt </w:t>
      </w:r>
      <w:r w:rsidR="0063730E">
        <w:fldChar w:fldCharType="begin"/>
      </w:r>
      <w:r w:rsidR="00DB1DEB">
        <w:instrText xml:space="preserve"> REF _Ref367993992 \h </w:instrText>
      </w:r>
      <w:r w:rsidR="0063730E">
        <w:fldChar w:fldCharType="separate"/>
      </w:r>
      <w:r w:rsidR="00DB1DEB">
        <w:rPr>
          <w:noProof/>
        </w:rPr>
        <w:t>7</w:t>
      </w:r>
      <w:r w:rsidR="0063730E">
        <w:fldChar w:fldCharType="end"/>
      </w:r>
      <w:r w:rsidR="00DB1DEB">
        <w:t>.</w:t>
      </w:r>
      <w:r w:rsidR="000F5B27">
        <w:t>ilustrācij</w:t>
      </w:r>
      <w:r w:rsidR="00DB1DEB">
        <w:t>u</w:t>
      </w:r>
      <w:r w:rsidR="000F5B27">
        <w:t>).</w:t>
      </w:r>
    </w:p>
    <w:bookmarkStart w:id="17" w:name="_Ref360459944"/>
    <w:p w14:paraId="1A0415C4" w14:textId="77777777" w:rsidR="00850B5B" w:rsidRPr="008813A0" w:rsidRDefault="0063730E" w:rsidP="007E3CC3">
      <w:pPr>
        <w:pStyle w:val="Caption"/>
        <w:rPr>
          <w:sz w:val="20"/>
          <w:szCs w:val="20"/>
        </w:rPr>
      </w:pPr>
      <w:r w:rsidRPr="000361BB">
        <w:rPr>
          <w:i w:val="0"/>
        </w:rPr>
        <w:fldChar w:fldCharType="begin"/>
      </w:r>
      <w:r w:rsidR="00DB1DEB" w:rsidRPr="000361BB">
        <w:rPr>
          <w:i w:val="0"/>
        </w:rPr>
        <w:instrText xml:space="preserve"> SEQ Ilustrācija \* ARABIC </w:instrText>
      </w:r>
      <w:r w:rsidRPr="000361BB">
        <w:rPr>
          <w:i w:val="0"/>
        </w:rPr>
        <w:fldChar w:fldCharType="separate"/>
      </w:r>
      <w:bookmarkStart w:id="18" w:name="_Ref367993992"/>
      <w:r w:rsidR="00DB1DEB" w:rsidRPr="000361BB">
        <w:rPr>
          <w:i w:val="0"/>
          <w:noProof/>
        </w:rPr>
        <w:t>7</w:t>
      </w:r>
      <w:bookmarkEnd w:id="18"/>
      <w:r w:rsidRPr="000361BB">
        <w:rPr>
          <w:i w:val="0"/>
        </w:rPr>
        <w:fldChar w:fldCharType="end"/>
      </w:r>
      <w:r w:rsidR="006F18F3" w:rsidRPr="000361BB">
        <w:rPr>
          <w:i w:val="0"/>
        </w:rPr>
        <w:t>.i</w:t>
      </w:r>
      <w:r w:rsidR="008868D4" w:rsidRPr="000361BB">
        <w:rPr>
          <w:i w:val="0"/>
        </w:rPr>
        <w:t>lustrācija</w:t>
      </w:r>
      <w:bookmarkEnd w:id="17"/>
      <w:r w:rsidR="00B53AEA" w:rsidRPr="000361BB">
        <w:rPr>
          <w:i w:val="0"/>
        </w:rPr>
        <w:t>.</w:t>
      </w:r>
      <w:r w:rsidR="00B53AEA" w:rsidRPr="000E0852">
        <w:t xml:space="preserve"> Finanšu atbalsts jaunu produktu</w:t>
      </w:r>
      <w:r w:rsidR="00B25F61">
        <w:t xml:space="preserve"> un</w:t>
      </w:r>
      <w:r w:rsidR="00DB1DEB">
        <w:t xml:space="preserve"> </w:t>
      </w:r>
      <w:r w:rsidR="00B53AEA" w:rsidRPr="00B53AEA">
        <w:t>pakalpojumu attīstībai</w:t>
      </w:r>
    </w:p>
    <w:p w14:paraId="29C3B40E" w14:textId="77777777" w:rsidR="00BB3AA6" w:rsidRPr="0078531A" w:rsidRDefault="00BB3AA6" w:rsidP="008813A0">
      <w:pPr>
        <w:pStyle w:val="FigureStyle"/>
      </w:pPr>
      <w:r w:rsidRPr="0078531A">
        <w:rPr>
          <w:lang w:val="lv-LV" w:eastAsia="lv-LV"/>
        </w:rPr>
        <w:drawing>
          <wp:inline distT="0" distB="0" distL="0" distR="0" wp14:anchorId="0DBAA5AF" wp14:editId="4C72D715">
            <wp:extent cx="5610758" cy="3604260"/>
            <wp:effectExtent l="19050" t="0" r="28042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3DF4B3C" w14:textId="77777777" w:rsidR="00B53AEA" w:rsidRDefault="00BB3AA6" w:rsidP="0098416C">
      <w:r w:rsidRPr="0078531A">
        <w:t>17.jautājumā tika iegūta informācija par to, vai ar IKT pakalpojumiem saistīt</w:t>
      </w:r>
      <w:r w:rsidR="00284614" w:rsidRPr="0078531A">
        <w:t xml:space="preserve">ie pakalpojumi </w:t>
      </w:r>
      <w:r w:rsidRPr="0078531A">
        <w:t xml:space="preserve">kavē uzņēmuma attīstību. </w:t>
      </w:r>
      <w:r w:rsidR="00B25F61">
        <w:t>L</w:t>
      </w:r>
      <w:r w:rsidRPr="0078531A">
        <w:t xml:space="preserve">ielākā daļa aptaujāto </w:t>
      </w:r>
      <w:r w:rsidR="00B53AEA" w:rsidRPr="008813A0">
        <w:t>norād</w:t>
      </w:r>
      <w:r w:rsidR="00B25F61" w:rsidRPr="008813A0">
        <w:t>a</w:t>
      </w:r>
      <w:r w:rsidR="003F763D">
        <w:t>,</w:t>
      </w:r>
      <w:r w:rsidRPr="00F7429C">
        <w:t xml:space="preserve"> ka platjoslas interneta pieejamība, mobilo sakaru pārklājums un ātrgaitas interneta sakaru pārklājums nekavē uzņēmuma attīstību, tomēr pietiekami liel</w:t>
      </w:r>
      <w:r w:rsidR="00B25F61" w:rsidRPr="00F7429C">
        <w:t>s</w:t>
      </w:r>
      <w:r w:rsidR="003F763D">
        <w:t xml:space="preserve"> ir </w:t>
      </w:r>
      <w:r w:rsidRPr="00F7429C">
        <w:t xml:space="preserve">to uzņēmumu </w:t>
      </w:r>
      <w:r w:rsidR="00B25F61" w:rsidRPr="00F7429C">
        <w:t>skaits</w:t>
      </w:r>
      <w:r w:rsidRPr="00F7429C">
        <w:t>, k</w:t>
      </w:r>
      <w:r w:rsidR="00B25F61" w:rsidRPr="00F7429C">
        <w:t>uri</w:t>
      </w:r>
      <w:r w:rsidRPr="00F7429C">
        <w:t xml:space="preserve"> </w:t>
      </w:r>
      <w:r w:rsidR="00B53AEA" w:rsidRPr="008813A0">
        <w:t>identificē</w:t>
      </w:r>
      <w:r w:rsidR="00DB1DEB" w:rsidRPr="008813A0">
        <w:t xml:space="preserve"> </w:t>
      </w:r>
      <w:r w:rsidRPr="00F7429C">
        <w:t>IKT</w:t>
      </w:r>
      <w:r w:rsidRPr="0078531A">
        <w:t xml:space="preserve"> attīstību kā kavējošu faktoru</w:t>
      </w:r>
      <w:r w:rsidR="0070531C">
        <w:t>,</w:t>
      </w:r>
      <w:r w:rsidRPr="0078531A">
        <w:t xml:space="preserve"> </w:t>
      </w:r>
      <w:r w:rsidR="00B25F61">
        <w:t xml:space="preserve">kas </w:t>
      </w:r>
      <w:r w:rsidRPr="0078531A">
        <w:t>rad</w:t>
      </w:r>
      <w:r w:rsidR="00B25F61">
        <w:t>a</w:t>
      </w:r>
      <w:r w:rsidRPr="0078531A">
        <w:t xml:space="preserve"> papildu izmaksas</w:t>
      </w:r>
      <w:r w:rsidR="00B25F61">
        <w:t xml:space="preserve"> un</w:t>
      </w:r>
      <w:r w:rsidRPr="0078531A">
        <w:t xml:space="preserve"> kavē </w:t>
      </w:r>
      <w:r w:rsidR="00B25F61">
        <w:t xml:space="preserve">vai būtiski kavē to </w:t>
      </w:r>
      <w:r w:rsidRPr="0078531A">
        <w:t xml:space="preserve">attīstību </w:t>
      </w:r>
      <w:r w:rsidR="0070531C">
        <w:t>(</w:t>
      </w:r>
      <w:r w:rsidR="00F7429C">
        <w:t xml:space="preserve">skatīt </w:t>
      </w:r>
      <w:r w:rsidR="0063730E">
        <w:fldChar w:fldCharType="begin"/>
      </w:r>
      <w:r w:rsidR="00F7429C">
        <w:instrText xml:space="preserve"> REF _Ref367994143 \h </w:instrText>
      </w:r>
      <w:r w:rsidR="0063730E">
        <w:fldChar w:fldCharType="separate"/>
      </w:r>
      <w:r w:rsidR="00F7429C">
        <w:rPr>
          <w:noProof/>
        </w:rPr>
        <w:t>8</w:t>
      </w:r>
      <w:r w:rsidR="0063730E">
        <w:fldChar w:fldCharType="end"/>
      </w:r>
      <w:r w:rsidR="00F7429C">
        <w:t>.ilustrāciju</w:t>
      </w:r>
      <w:r w:rsidR="0070531C">
        <w:t>).</w:t>
      </w:r>
    </w:p>
    <w:bookmarkStart w:id="19" w:name="_Ref360460267"/>
    <w:p w14:paraId="385627F2" w14:textId="77777777" w:rsidR="00284614" w:rsidRPr="008813A0" w:rsidRDefault="0063730E" w:rsidP="007E3CC3">
      <w:pPr>
        <w:pStyle w:val="Caption"/>
        <w:rPr>
          <w:sz w:val="20"/>
          <w:szCs w:val="20"/>
        </w:rPr>
      </w:pPr>
      <w:r w:rsidRPr="000361BB">
        <w:rPr>
          <w:i w:val="0"/>
        </w:rPr>
        <w:fldChar w:fldCharType="begin"/>
      </w:r>
      <w:r w:rsidR="00F7429C" w:rsidRPr="000361BB">
        <w:rPr>
          <w:i w:val="0"/>
        </w:rPr>
        <w:instrText xml:space="preserve"> SEQ Ilustrācija \* ARABIC </w:instrText>
      </w:r>
      <w:r w:rsidRPr="000361BB">
        <w:rPr>
          <w:i w:val="0"/>
        </w:rPr>
        <w:fldChar w:fldCharType="separate"/>
      </w:r>
      <w:bookmarkStart w:id="20" w:name="_Ref367994143"/>
      <w:r w:rsidR="00F7429C" w:rsidRPr="000361BB">
        <w:rPr>
          <w:i w:val="0"/>
          <w:noProof/>
        </w:rPr>
        <w:t>8</w:t>
      </w:r>
      <w:bookmarkEnd w:id="20"/>
      <w:r w:rsidRPr="000361BB">
        <w:rPr>
          <w:i w:val="0"/>
        </w:rPr>
        <w:fldChar w:fldCharType="end"/>
      </w:r>
      <w:r w:rsidR="00F7429C" w:rsidRPr="000361BB">
        <w:rPr>
          <w:i w:val="0"/>
        </w:rPr>
        <w:t>.i</w:t>
      </w:r>
      <w:bookmarkEnd w:id="19"/>
      <w:r w:rsidR="0070531C" w:rsidRPr="000361BB">
        <w:rPr>
          <w:i w:val="0"/>
        </w:rPr>
        <w:t>lustrācija.</w:t>
      </w:r>
      <w:r w:rsidR="0070531C">
        <w:t xml:space="preserve"> Informācijas un komunikācijas tehnoloģiju </w:t>
      </w:r>
      <w:r w:rsidR="006F18F3" w:rsidRPr="006F18F3">
        <w:t>pakalpojumu ietekme uz uzņēmumu attīstību</w:t>
      </w:r>
    </w:p>
    <w:p w14:paraId="5C473F03" w14:textId="77777777" w:rsidR="00AE1880" w:rsidRPr="0078531A" w:rsidRDefault="00BB3AA6" w:rsidP="008813A0">
      <w:pPr>
        <w:pStyle w:val="FigureStyle"/>
      </w:pPr>
      <w:r w:rsidRPr="0078531A">
        <w:rPr>
          <w:lang w:val="lv-LV" w:eastAsia="lv-LV"/>
        </w:rPr>
        <w:drawing>
          <wp:inline distT="0" distB="0" distL="0" distR="0" wp14:anchorId="6CB2166B" wp14:editId="07130641">
            <wp:extent cx="5603443" cy="2457908"/>
            <wp:effectExtent l="19050" t="0" r="16307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4493699" w14:textId="77777777" w:rsidR="00BB3AA6" w:rsidRPr="0078531A" w:rsidRDefault="00BB3AA6" w:rsidP="008813A0">
      <w:pPr>
        <w:rPr>
          <w:noProof/>
          <w:lang w:eastAsia="lv-LV"/>
        </w:rPr>
      </w:pPr>
      <w:r w:rsidRPr="0078531A">
        <w:rPr>
          <w:noProof/>
          <w:lang w:eastAsia="lv-LV"/>
        </w:rPr>
        <w:t xml:space="preserve">18.jautājumā </w:t>
      </w:r>
      <w:r w:rsidR="00B25F61">
        <w:rPr>
          <w:noProof/>
          <w:lang w:eastAsia="lv-LV"/>
        </w:rPr>
        <w:t>respondenti</w:t>
      </w:r>
      <w:r w:rsidRPr="0078531A">
        <w:rPr>
          <w:noProof/>
          <w:lang w:eastAsia="lv-LV"/>
        </w:rPr>
        <w:t xml:space="preserve"> iz</w:t>
      </w:r>
      <w:r w:rsidR="00B25F61">
        <w:rPr>
          <w:noProof/>
          <w:lang w:eastAsia="lv-LV"/>
        </w:rPr>
        <w:t>saka</w:t>
      </w:r>
      <w:r w:rsidRPr="0078531A">
        <w:rPr>
          <w:noProof/>
          <w:lang w:eastAsia="lv-LV"/>
        </w:rPr>
        <w:t xml:space="preserve"> priekšlikumus par uzņēmēju un pētniecības institūciju sadarbības veicināšanu. 43 respondentu </w:t>
      </w:r>
      <w:r w:rsidRPr="00F7429C">
        <w:rPr>
          <w:noProof/>
          <w:lang w:eastAsia="lv-LV"/>
        </w:rPr>
        <w:t xml:space="preserve">atbildes </w:t>
      </w:r>
      <w:r w:rsidR="00B53AEA" w:rsidRPr="008813A0">
        <w:rPr>
          <w:noProof/>
          <w:lang w:eastAsia="lv-LV"/>
        </w:rPr>
        <w:t>ie</w:t>
      </w:r>
      <w:r w:rsidR="00B25F61" w:rsidRPr="008813A0">
        <w:rPr>
          <w:noProof/>
          <w:lang w:eastAsia="lv-LV"/>
        </w:rPr>
        <w:t>saka</w:t>
      </w:r>
      <w:r w:rsidR="00F7429C" w:rsidRPr="008813A0">
        <w:rPr>
          <w:noProof/>
          <w:lang w:eastAsia="lv-LV"/>
        </w:rPr>
        <w:t xml:space="preserve"> </w:t>
      </w:r>
      <w:r w:rsidRPr="00F7429C">
        <w:rPr>
          <w:noProof/>
          <w:lang w:eastAsia="lv-LV"/>
        </w:rPr>
        <w:t xml:space="preserve">veicināt komunikāciju un mobilitāti starp zinātniskajām institūcijām un industriju, 43 </w:t>
      </w:r>
      <w:r w:rsidR="00B53AEA" w:rsidRPr="008813A0">
        <w:rPr>
          <w:noProof/>
          <w:lang w:eastAsia="lv-LV"/>
        </w:rPr>
        <w:t>norād</w:t>
      </w:r>
      <w:r w:rsidR="00B25F61" w:rsidRPr="008813A0">
        <w:rPr>
          <w:noProof/>
          <w:lang w:eastAsia="lv-LV"/>
        </w:rPr>
        <w:t>a</w:t>
      </w:r>
      <w:r w:rsidR="00F7429C" w:rsidRPr="008813A0">
        <w:rPr>
          <w:noProof/>
          <w:lang w:eastAsia="lv-LV"/>
        </w:rPr>
        <w:t xml:space="preserve"> </w:t>
      </w:r>
      <w:r w:rsidRPr="00F7429C">
        <w:rPr>
          <w:noProof/>
          <w:lang w:eastAsia="lv-LV"/>
        </w:rPr>
        <w:t>uz</w:t>
      </w:r>
      <w:r w:rsidRPr="0078531A">
        <w:rPr>
          <w:noProof/>
          <w:lang w:eastAsia="lv-LV"/>
        </w:rPr>
        <w:t xml:space="preserve"> kopīgu finansējumu un grantu nepieciešamību, 40 – izglītības programmu sasaist</w:t>
      </w:r>
      <w:r w:rsidR="00276F48">
        <w:rPr>
          <w:noProof/>
          <w:lang w:eastAsia="lv-LV"/>
        </w:rPr>
        <w:t>i</w:t>
      </w:r>
      <w:r w:rsidRPr="0078531A">
        <w:rPr>
          <w:noProof/>
          <w:lang w:eastAsia="lv-LV"/>
        </w:rPr>
        <w:t xml:space="preserve"> ar industrijas vajadzībām </w:t>
      </w:r>
      <w:r w:rsidR="0070531C">
        <w:rPr>
          <w:noProof/>
          <w:lang w:eastAsia="lv-LV"/>
        </w:rPr>
        <w:t>(</w:t>
      </w:r>
      <w:r w:rsidR="00F7429C">
        <w:rPr>
          <w:noProof/>
          <w:lang w:eastAsia="lv-LV"/>
        </w:rPr>
        <w:t xml:space="preserve">skatīt </w:t>
      </w:r>
      <w:r w:rsidR="0063730E">
        <w:rPr>
          <w:noProof/>
          <w:lang w:eastAsia="lv-LV"/>
        </w:rPr>
        <w:fldChar w:fldCharType="begin"/>
      </w:r>
      <w:r w:rsidR="00F7429C">
        <w:rPr>
          <w:noProof/>
          <w:lang w:eastAsia="lv-LV"/>
        </w:rPr>
        <w:instrText xml:space="preserve"> REF _Ref367994389 \h </w:instrText>
      </w:r>
      <w:r w:rsidR="0063730E">
        <w:rPr>
          <w:noProof/>
          <w:lang w:eastAsia="lv-LV"/>
        </w:rPr>
      </w:r>
      <w:r w:rsidR="0063730E">
        <w:rPr>
          <w:noProof/>
          <w:lang w:eastAsia="lv-LV"/>
        </w:rPr>
        <w:fldChar w:fldCharType="separate"/>
      </w:r>
      <w:r w:rsidR="00F7429C">
        <w:rPr>
          <w:noProof/>
        </w:rPr>
        <w:t>9</w:t>
      </w:r>
      <w:r w:rsidR="0063730E">
        <w:rPr>
          <w:noProof/>
          <w:lang w:eastAsia="lv-LV"/>
        </w:rPr>
        <w:fldChar w:fldCharType="end"/>
      </w:r>
      <w:r w:rsidR="00F7429C">
        <w:rPr>
          <w:noProof/>
          <w:lang w:eastAsia="lv-LV"/>
        </w:rPr>
        <w:t>.ilustrāciju</w:t>
      </w:r>
      <w:r w:rsidR="0070531C">
        <w:rPr>
          <w:noProof/>
          <w:lang w:eastAsia="lv-LV"/>
        </w:rPr>
        <w:t>)</w:t>
      </w:r>
      <w:r w:rsidRPr="0078531A">
        <w:rPr>
          <w:noProof/>
          <w:lang w:eastAsia="lv-LV"/>
        </w:rPr>
        <w:t xml:space="preserve">. </w:t>
      </w:r>
    </w:p>
    <w:bookmarkStart w:id="21" w:name="_Ref360460727"/>
    <w:p w14:paraId="77C0639F" w14:textId="77777777" w:rsidR="00284614" w:rsidRPr="008813A0" w:rsidRDefault="0063730E" w:rsidP="007E3CC3">
      <w:pPr>
        <w:pStyle w:val="Caption"/>
      </w:pPr>
      <w:r w:rsidRPr="000361BB">
        <w:rPr>
          <w:i w:val="0"/>
        </w:rPr>
        <w:fldChar w:fldCharType="begin"/>
      </w:r>
      <w:r w:rsidR="00F7429C" w:rsidRPr="000361BB">
        <w:rPr>
          <w:i w:val="0"/>
        </w:rPr>
        <w:instrText xml:space="preserve"> SEQ Ilustrācija \* ARABIC </w:instrText>
      </w:r>
      <w:r w:rsidRPr="000361BB">
        <w:rPr>
          <w:i w:val="0"/>
        </w:rPr>
        <w:fldChar w:fldCharType="separate"/>
      </w:r>
      <w:bookmarkStart w:id="22" w:name="_Ref367994389"/>
      <w:r w:rsidR="00F7429C" w:rsidRPr="000361BB">
        <w:rPr>
          <w:i w:val="0"/>
        </w:rPr>
        <w:t>9</w:t>
      </w:r>
      <w:bookmarkEnd w:id="22"/>
      <w:r w:rsidRPr="000361BB">
        <w:rPr>
          <w:i w:val="0"/>
        </w:rPr>
        <w:fldChar w:fldCharType="end"/>
      </w:r>
      <w:r w:rsidR="00F7429C" w:rsidRPr="000361BB">
        <w:rPr>
          <w:i w:val="0"/>
        </w:rPr>
        <w:t>.ilustrācija</w:t>
      </w:r>
      <w:bookmarkEnd w:id="21"/>
      <w:r w:rsidR="006F18F3" w:rsidRPr="000361BB">
        <w:rPr>
          <w:i w:val="0"/>
        </w:rPr>
        <w:t>.</w:t>
      </w:r>
      <w:r w:rsidR="00F7429C" w:rsidRPr="008813A0">
        <w:t xml:space="preserve"> </w:t>
      </w:r>
      <w:r w:rsidR="006F18F3" w:rsidRPr="008813A0">
        <w:t>Priekšlikumi uzņēmēju un pētnieku sadarbībai</w:t>
      </w:r>
    </w:p>
    <w:p w14:paraId="2ABAB503" w14:textId="77777777" w:rsidR="00BB3AA6" w:rsidRPr="0078531A" w:rsidRDefault="00BB3AA6" w:rsidP="008813A0">
      <w:pPr>
        <w:pStyle w:val="FigureStyle"/>
        <w:rPr>
          <w:lang w:eastAsia="lv-LV"/>
        </w:rPr>
      </w:pPr>
      <w:r w:rsidRPr="0078531A">
        <w:rPr>
          <w:lang w:val="lv-LV" w:eastAsia="lv-LV"/>
        </w:rPr>
        <w:drawing>
          <wp:inline distT="0" distB="0" distL="0" distR="0" wp14:anchorId="7FE396FE" wp14:editId="592494FE">
            <wp:extent cx="5640019" cy="3101340"/>
            <wp:effectExtent l="19050" t="0" r="17831" b="38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7BEFD72" w14:textId="77777777" w:rsidR="00B53AEA" w:rsidRDefault="00BB3AA6">
      <w:pPr>
        <w:rPr>
          <w:noProof/>
          <w:lang w:eastAsia="lv-LV"/>
        </w:rPr>
      </w:pPr>
      <w:r w:rsidRPr="0078531A">
        <w:rPr>
          <w:noProof/>
          <w:lang w:eastAsia="lv-LV"/>
        </w:rPr>
        <w:t xml:space="preserve">19.jautājumā </w:t>
      </w:r>
      <w:r w:rsidR="00276F48">
        <w:rPr>
          <w:noProof/>
          <w:lang w:eastAsia="lv-LV"/>
        </w:rPr>
        <w:t>repondentiem</w:t>
      </w:r>
      <w:r w:rsidRPr="0078531A">
        <w:rPr>
          <w:noProof/>
          <w:lang w:eastAsia="lv-LV"/>
        </w:rPr>
        <w:t xml:space="preserve"> bija iespēja sniegt papildu informāciju par t</w:t>
      </w:r>
      <w:r w:rsidR="00B9680C">
        <w:rPr>
          <w:noProof/>
          <w:lang w:eastAsia="lv-LV"/>
        </w:rPr>
        <w:t>ā</w:t>
      </w:r>
      <w:r w:rsidRPr="0078531A">
        <w:rPr>
          <w:noProof/>
          <w:lang w:eastAsia="lv-LV"/>
        </w:rPr>
        <w:t xml:space="preserve">m </w:t>
      </w:r>
      <w:r w:rsidR="00B9680C" w:rsidRPr="0078531A">
        <w:rPr>
          <w:noProof/>
          <w:lang w:eastAsia="lv-LV"/>
        </w:rPr>
        <w:t xml:space="preserve">problēmām un </w:t>
      </w:r>
      <w:r w:rsidRPr="0078531A">
        <w:rPr>
          <w:noProof/>
          <w:lang w:eastAsia="lv-LV"/>
        </w:rPr>
        <w:t>jautājumiem, kas viņiem šķiet būtiski. Atbildēs parādās ieteikumi tālākai sadarbībai</w:t>
      </w:r>
      <w:r w:rsidR="007E3CC3">
        <w:rPr>
          <w:noProof/>
          <w:lang w:eastAsia="lv-LV"/>
        </w:rPr>
        <w:t xml:space="preserve"> </w:t>
      </w:r>
      <w:r w:rsidR="003F763D">
        <w:rPr>
          <w:noProof/>
          <w:lang w:eastAsia="lv-LV"/>
        </w:rPr>
        <w:t xml:space="preserve">(ieteikumi </w:t>
      </w:r>
      <w:r w:rsidRPr="0078531A">
        <w:rPr>
          <w:noProof/>
          <w:lang w:eastAsia="lv-LV"/>
        </w:rPr>
        <w:t>identificēti 18.jautājumā</w:t>
      </w:r>
      <w:r w:rsidR="003F763D">
        <w:rPr>
          <w:noProof/>
          <w:lang w:eastAsia="lv-LV"/>
        </w:rPr>
        <w:t>)</w:t>
      </w:r>
      <w:r w:rsidRPr="0078531A">
        <w:rPr>
          <w:noProof/>
          <w:lang w:eastAsia="lv-LV"/>
        </w:rPr>
        <w:t>, kā arī dažādi viedokļi par līdzšinējo fondu sadales procesu, izglītības sistēmas problēmām un vēlmi piedalīties turpmākajā informācijas apmaiņā.</w:t>
      </w:r>
    </w:p>
    <w:p w14:paraId="550DD195" w14:textId="77777777" w:rsidR="00B53AEA" w:rsidRDefault="00B9680C">
      <w:pPr>
        <w:rPr>
          <w:noProof/>
          <w:lang w:eastAsia="lv-LV"/>
        </w:rPr>
      </w:pPr>
      <w:r>
        <w:rPr>
          <w:noProof/>
          <w:lang w:eastAsia="lv-LV"/>
        </w:rPr>
        <w:t>A</w:t>
      </w:r>
      <w:r w:rsidRPr="0078531A">
        <w:rPr>
          <w:noProof/>
          <w:lang w:eastAsia="lv-LV"/>
        </w:rPr>
        <w:t xml:space="preserve">nketā </w:t>
      </w:r>
      <w:r>
        <w:rPr>
          <w:noProof/>
          <w:lang w:eastAsia="lv-LV"/>
        </w:rPr>
        <w:t>p</w:t>
      </w:r>
      <w:r w:rsidR="00BB3AA6" w:rsidRPr="0078531A">
        <w:rPr>
          <w:noProof/>
          <w:lang w:eastAsia="lv-LV"/>
        </w:rPr>
        <w:t xml:space="preserve">apildus  </w:t>
      </w:r>
      <w:r w:rsidR="00276F48">
        <w:rPr>
          <w:noProof/>
          <w:lang w:eastAsia="lv-LV"/>
        </w:rPr>
        <w:t xml:space="preserve">bija izteikts lūgums </w:t>
      </w:r>
      <w:r w:rsidR="00BB3AA6" w:rsidRPr="0078531A">
        <w:rPr>
          <w:noProof/>
          <w:lang w:eastAsia="lv-LV"/>
        </w:rPr>
        <w:t>norādīt, kuru jomu speciālisti uzņēmumiem ir visvairāk nepieciešami</w:t>
      </w:r>
      <w:r>
        <w:rPr>
          <w:noProof/>
          <w:lang w:eastAsia="lv-LV"/>
        </w:rPr>
        <w:t>,</w:t>
      </w:r>
      <w:r w:rsidR="00BB3AA6" w:rsidRPr="0078531A">
        <w:rPr>
          <w:noProof/>
          <w:lang w:eastAsia="lv-LV"/>
        </w:rPr>
        <w:t xml:space="preserve"> </w:t>
      </w:r>
      <w:r>
        <w:rPr>
          <w:noProof/>
          <w:lang w:eastAsia="lv-LV"/>
        </w:rPr>
        <w:t>vai</w:t>
      </w:r>
      <w:r w:rsidR="00BB3AA6" w:rsidRPr="0078531A">
        <w:rPr>
          <w:noProof/>
          <w:lang w:eastAsia="lv-LV"/>
        </w:rPr>
        <w:t xml:space="preserve"> identificēt jomas, kurās nepieciešams veicināt „bāzes kapacitātes” attīstību. 23% responentu </w:t>
      </w:r>
      <w:r w:rsidR="00B53AEA" w:rsidRPr="008813A0">
        <w:rPr>
          <w:noProof/>
          <w:lang w:eastAsia="lv-LV"/>
        </w:rPr>
        <w:t>nor</w:t>
      </w:r>
      <w:r w:rsidR="00F7429C" w:rsidRPr="008813A0">
        <w:rPr>
          <w:noProof/>
          <w:lang w:eastAsia="lv-LV"/>
        </w:rPr>
        <w:t>āda</w:t>
      </w:r>
      <w:r w:rsidR="00EB0B4A" w:rsidRPr="00F7429C">
        <w:rPr>
          <w:noProof/>
          <w:lang w:eastAsia="lv-LV"/>
        </w:rPr>
        <w:t xml:space="preserve"> ka</w:t>
      </w:r>
      <w:r w:rsidR="00EB0B4A">
        <w:rPr>
          <w:noProof/>
          <w:lang w:eastAsia="lv-LV"/>
        </w:rPr>
        <w:t xml:space="preserve"> nepieciešami inženieri</w:t>
      </w:r>
      <w:r w:rsidR="00BB3AA6" w:rsidRPr="0078531A">
        <w:rPr>
          <w:noProof/>
          <w:lang w:eastAsia="lv-LV"/>
        </w:rPr>
        <w:t>, taču ne</w:t>
      </w:r>
      <w:r>
        <w:rPr>
          <w:noProof/>
          <w:lang w:eastAsia="lv-LV"/>
        </w:rPr>
        <w:t xml:space="preserve"> </w:t>
      </w:r>
      <w:r w:rsidR="00BB3AA6" w:rsidRPr="0078531A">
        <w:rPr>
          <w:noProof/>
          <w:lang w:eastAsia="lv-LV"/>
        </w:rPr>
        <w:t xml:space="preserve">vienmēr norādīts, kādas specialitātes inženieri ir nepieciešami. 15% atbilžu </w:t>
      </w:r>
      <w:r w:rsidR="00276F48">
        <w:rPr>
          <w:noProof/>
          <w:lang w:eastAsia="lv-LV"/>
        </w:rPr>
        <w:t xml:space="preserve">ir </w:t>
      </w:r>
      <w:r w:rsidR="00BB3AA6" w:rsidRPr="0078531A">
        <w:rPr>
          <w:noProof/>
          <w:lang w:eastAsia="lv-LV"/>
        </w:rPr>
        <w:t>saistīt</w:t>
      </w:r>
      <w:r w:rsidR="00276F48">
        <w:rPr>
          <w:noProof/>
          <w:lang w:eastAsia="lv-LV"/>
        </w:rPr>
        <w:t>as</w:t>
      </w:r>
      <w:r w:rsidR="00BB3AA6" w:rsidRPr="0078531A">
        <w:rPr>
          <w:noProof/>
          <w:lang w:eastAsia="lv-LV"/>
        </w:rPr>
        <w:t xml:space="preserve"> ar nepieciešamību pēc ražošanas tehnologiem un citiem tehniskajiem darbiniekiem, </w:t>
      </w:r>
      <w:r w:rsidR="00276F48">
        <w:rPr>
          <w:noProof/>
          <w:lang w:eastAsia="lv-LV"/>
        </w:rPr>
        <w:t xml:space="preserve">taču nav </w:t>
      </w:r>
      <w:r w:rsidR="00BB3AA6" w:rsidRPr="0078531A">
        <w:rPr>
          <w:noProof/>
          <w:lang w:eastAsia="lv-LV"/>
        </w:rPr>
        <w:t>norād</w:t>
      </w:r>
      <w:r w:rsidR="00276F48">
        <w:rPr>
          <w:noProof/>
          <w:lang w:eastAsia="lv-LV"/>
        </w:rPr>
        <w:t>īta</w:t>
      </w:r>
      <w:r w:rsidR="00BB3AA6" w:rsidRPr="0078531A">
        <w:rPr>
          <w:noProof/>
          <w:lang w:eastAsia="lv-LV"/>
        </w:rPr>
        <w:t xml:space="preserve"> konkrēt</w:t>
      </w:r>
      <w:r w:rsidR="00276F48">
        <w:rPr>
          <w:noProof/>
          <w:lang w:eastAsia="lv-LV"/>
        </w:rPr>
        <w:t>a</w:t>
      </w:r>
      <w:r w:rsidR="00BB3AA6" w:rsidRPr="0078531A">
        <w:rPr>
          <w:noProof/>
          <w:lang w:eastAsia="lv-LV"/>
        </w:rPr>
        <w:t xml:space="preserve"> specialitāt</w:t>
      </w:r>
      <w:r w:rsidR="00276F48">
        <w:rPr>
          <w:noProof/>
          <w:lang w:eastAsia="lv-LV"/>
        </w:rPr>
        <w:t>e</w:t>
      </w:r>
      <w:r w:rsidR="00BB3AA6" w:rsidRPr="0078531A">
        <w:rPr>
          <w:noProof/>
          <w:lang w:eastAsia="lv-LV"/>
        </w:rPr>
        <w:t xml:space="preserve">. 13% responentu </w:t>
      </w:r>
      <w:r w:rsidR="00276F48" w:rsidRPr="008813A0">
        <w:rPr>
          <w:noProof/>
          <w:lang w:eastAsia="lv-LV"/>
        </w:rPr>
        <w:t>izsaka</w:t>
      </w:r>
      <w:r w:rsidR="003F763D">
        <w:rPr>
          <w:noProof/>
          <w:lang w:eastAsia="lv-LV"/>
        </w:rPr>
        <w:t xml:space="preserve"> </w:t>
      </w:r>
      <w:r w:rsidR="00276F48">
        <w:rPr>
          <w:noProof/>
          <w:lang w:eastAsia="lv-LV"/>
        </w:rPr>
        <w:t xml:space="preserve">domu, ka </w:t>
      </w:r>
      <w:r w:rsidR="00BB3AA6" w:rsidRPr="0078531A">
        <w:rPr>
          <w:noProof/>
          <w:lang w:eastAsia="lv-LV"/>
        </w:rPr>
        <w:t>nepieciešam</w:t>
      </w:r>
      <w:r w:rsidR="00276F48">
        <w:rPr>
          <w:noProof/>
          <w:lang w:eastAsia="lv-LV"/>
        </w:rPr>
        <w:t>i</w:t>
      </w:r>
      <w:r w:rsidR="00BB3AA6" w:rsidRPr="0078531A">
        <w:rPr>
          <w:noProof/>
          <w:lang w:eastAsia="lv-LV"/>
        </w:rPr>
        <w:t xml:space="preserve"> lauksaimniecības un mežkopības zinātnes speciālisti un datorzinātnes speciālisti </w:t>
      </w:r>
      <w:r>
        <w:rPr>
          <w:noProof/>
          <w:lang w:eastAsia="lv-LV"/>
        </w:rPr>
        <w:t>(</w:t>
      </w:r>
      <w:r w:rsidR="00F7429C">
        <w:rPr>
          <w:noProof/>
          <w:lang w:eastAsia="lv-LV"/>
        </w:rPr>
        <w:t>skatīt</w:t>
      </w:r>
      <w:r w:rsidR="00BA5B87">
        <w:rPr>
          <w:noProof/>
          <w:lang w:eastAsia="lv-LV"/>
        </w:rPr>
        <w:t xml:space="preserve"> </w:t>
      </w:r>
      <w:r w:rsidR="00B04EC2">
        <w:rPr>
          <w:noProof/>
          <w:lang w:eastAsia="lv-LV"/>
        </w:rPr>
        <w:t>10.ilustrāciju</w:t>
      </w:r>
      <w:r>
        <w:rPr>
          <w:noProof/>
          <w:lang w:eastAsia="lv-LV"/>
        </w:rPr>
        <w:t xml:space="preserve">). </w:t>
      </w:r>
    </w:p>
    <w:bookmarkStart w:id="23" w:name="_Ref365366667"/>
    <w:p w14:paraId="0E2E32CC" w14:textId="77777777" w:rsidR="00284614" w:rsidRPr="0078531A" w:rsidRDefault="0063730E" w:rsidP="007E3CC3">
      <w:pPr>
        <w:pStyle w:val="Caption"/>
      </w:pPr>
      <w:r w:rsidRPr="00FB2F6F">
        <w:rPr>
          <w:i w:val="0"/>
        </w:rPr>
        <w:fldChar w:fldCharType="begin"/>
      </w:r>
      <w:r w:rsidR="00BA5B87" w:rsidRPr="00FB2F6F">
        <w:rPr>
          <w:i w:val="0"/>
        </w:rPr>
        <w:instrText xml:space="preserve"> SEQ Ilustrācija \* ARABIC </w:instrText>
      </w:r>
      <w:r w:rsidRPr="00FB2F6F">
        <w:rPr>
          <w:i w:val="0"/>
        </w:rPr>
        <w:fldChar w:fldCharType="separate"/>
      </w:r>
      <w:r w:rsidR="00BA5B87" w:rsidRPr="00FB2F6F">
        <w:rPr>
          <w:i w:val="0"/>
          <w:noProof/>
        </w:rPr>
        <w:t>10</w:t>
      </w:r>
      <w:r w:rsidRPr="00FB2F6F">
        <w:rPr>
          <w:i w:val="0"/>
        </w:rPr>
        <w:fldChar w:fldCharType="end"/>
      </w:r>
      <w:r w:rsidR="00BA5B87" w:rsidRPr="00FB2F6F">
        <w:rPr>
          <w:i w:val="0"/>
        </w:rPr>
        <w:t>.</w:t>
      </w:r>
      <w:r w:rsidR="006F18F3" w:rsidRPr="00FB2F6F">
        <w:rPr>
          <w:i w:val="0"/>
        </w:rPr>
        <w:t>ilustrācija.</w:t>
      </w:r>
      <w:r w:rsidR="006F18F3" w:rsidRPr="006F18F3">
        <w:t xml:space="preserve"> Nepieciešamie speciālisti</w:t>
      </w:r>
      <w:bookmarkEnd w:id="23"/>
    </w:p>
    <w:p w14:paraId="1D5F84A4" w14:textId="77777777" w:rsidR="00BB3AA6" w:rsidRPr="0078531A" w:rsidRDefault="00BB3AA6" w:rsidP="00F7429C">
      <w:pPr>
        <w:pStyle w:val="FigureStyle"/>
      </w:pPr>
      <w:r w:rsidRPr="0078531A">
        <w:rPr>
          <w:lang w:val="lv-LV" w:eastAsia="lv-LV"/>
        </w:rPr>
        <w:drawing>
          <wp:inline distT="0" distB="0" distL="0" distR="0" wp14:anchorId="6B74C4E3" wp14:editId="79B238E4">
            <wp:extent cx="5690870" cy="3085106"/>
            <wp:effectExtent l="19050" t="0" r="24130" b="994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BB3AA6" w:rsidRPr="0078531A" w:rsidSect="00B45C53">
      <w:footerReference w:type="default" r:id="rId2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A626B" w14:textId="77777777" w:rsidR="00AE46CA" w:rsidRDefault="00AE46CA" w:rsidP="008813A0">
      <w:r>
        <w:separator/>
      </w:r>
    </w:p>
  </w:endnote>
  <w:endnote w:type="continuationSeparator" w:id="0">
    <w:p w14:paraId="55BF661E" w14:textId="77777777" w:rsidR="00AE46CA" w:rsidRDefault="00AE46CA" w:rsidP="008813A0">
      <w:r>
        <w:continuationSeparator/>
      </w:r>
    </w:p>
  </w:endnote>
  <w:endnote w:type="continuationNotice" w:id="1">
    <w:p w14:paraId="3EA83781" w14:textId="77777777" w:rsidR="002E6BE0" w:rsidRDefault="002E6B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Borders>
        <w:top w:val="single" w:sz="4" w:space="0" w:color="auto"/>
      </w:tblBorders>
      <w:tblCellMar>
        <w:top w:w="115" w:type="dxa"/>
        <w:left w:w="115" w:type="dxa"/>
        <w:bottom w:w="115" w:type="dxa"/>
        <w:right w:w="115" w:type="dxa"/>
      </w:tblCellMar>
      <w:tblLook w:val="00A0" w:firstRow="1" w:lastRow="0" w:firstColumn="1" w:lastColumn="0" w:noHBand="0" w:noVBand="0"/>
    </w:tblPr>
    <w:tblGrid>
      <w:gridCol w:w="8285"/>
      <w:gridCol w:w="971"/>
    </w:tblGrid>
    <w:tr w:rsidR="00AE46CA" w:rsidRPr="00751D25" w14:paraId="07A269B9" w14:textId="77777777" w:rsidTr="00AE46CA">
      <w:trPr>
        <w:trHeight w:val="295"/>
        <w:jc w:val="right"/>
      </w:trPr>
      <w:tc>
        <w:tcPr>
          <w:tcW w:w="8080" w:type="dxa"/>
          <w:tcBorders>
            <w:top w:val="single" w:sz="4" w:space="0" w:color="auto"/>
          </w:tcBorders>
          <w:vAlign w:val="center"/>
        </w:tcPr>
        <w:p w14:paraId="29FE5D2F" w14:textId="77777777" w:rsidR="00AE46CA" w:rsidRPr="00751D25" w:rsidRDefault="00AE46CA" w:rsidP="00FC2C26">
          <w:pPr>
            <w:pStyle w:val="Header"/>
            <w:ind w:firstLine="0"/>
          </w:pPr>
          <w:r>
            <w:t>Uzņēmēju aptaujas rezultāti</w:t>
          </w:r>
        </w:p>
      </w:tc>
      <w:tc>
        <w:tcPr>
          <w:tcW w:w="947" w:type="dxa"/>
          <w:tcBorders>
            <w:top w:val="single" w:sz="4" w:space="0" w:color="auto"/>
          </w:tcBorders>
          <w:shd w:val="clear" w:color="auto" w:fill="44546A"/>
          <w:vAlign w:val="center"/>
        </w:tcPr>
        <w:p w14:paraId="1E49933E" w14:textId="77777777" w:rsidR="00AE46CA" w:rsidRPr="00751D25" w:rsidRDefault="0063730E" w:rsidP="00FC2C26">
          <w:pPr>
            <w:pStyle w:val="Footer"/>
            <w:ind w:firstLine="0"/>
            <w:jc w:val="center"/>
          </w:pPr>
          <w:r w:rsidRPr="00751D25">
            <w:rPr>
              <w:color w:val="FFFFFF"/>
            </w:rPr>
            <w:fldChar w:fldCharType="begin"/>
          </w:r>
          <w:r w:rsidR="00AE46CA" w:rsidRPr="00751D25">
            <w:rPr>
              <w:color w:val="FFFFFF"/>
            </w:rPr>
            <w:instrText xml:space="preserve"> PAGE   \* MERGEFORMAT </w:instrText>
          </w:r>
          <w:r w:rsidRPr="00751D25">
            <w:rPr>
              <w:color w:val="FFFFFF"/>
            </w:rPr>
            <w:fldChar w:fldCharType="separate"/>
          </w:r>
          <w:r w:rsidR="0016441C">
            <w:rPr>
              <w:noProof/>
              <w:color w:val="FFFFFF"/>
            </w:rPr>
            <w:t>8</w:t>
          </w:r>
          <w:r w:rsidRPr="00751D25">
            <w:rPr>
              <w:color w:val="FFFFFF"/>
            </w:rPr>
            <w:fldChar w:fldCharType="end"/>
          </w:r>
        </w:p>
      </w:tc>
    </w:tr>
  </w:tbl>
  <w:p w14:paraId="7CBE9A85" w14:textId="77777777" w:rsidR="00AE46CA" w:rsidRPr="00FC2C26" w:rsidRDefault="00AE46CA" w:rsidP="00FC2C26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D698E" w14:textId="77777777" w:rsidR="00AE46CA" w:rsidRDefault="00AE46CA" w:rsidP="008813A0">
      <w:r>
        <w:separator/>
      </w:r>
    </w:p>
  </w:footnote>
  <w:footnote w:type="continuationSeparator" w:id="0">
    <w:p w14:paraId="12539334" w14:textId="77777777" w:rsidR="00AE46CA" w:rsidRDefault="00AE46CA" w:rsidP="008813A0">
      <w:r>
        <w:continuationSeparator/>
      </w:r>
    </w:p>
  </w:footnote>
  <w:footnote w:type="continuationNotice" w:id="1">
    <w:p w14:paraId="41F2C6F9" w14:textId="77777777" w:rsidR="002E6BE0" w:rsidRDefault="002E6B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66F26"/>
    <w:multiLevelType w:val="hybridMultilevel"/>
    <w:tmpl w:val="61124F36"/>
    <w:lvl w:ilvl="0" w:tplc="B1B4F2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420E6">
      <w:start w:val="1"/>
      <w:numFmt w:val="bullet"/>
      <w:pStyle w:val="BulletsFLevel2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F062E"/>
    <w:multiLevelType w:val="multilevel"/>
    <w:tmpl w:val="39189A88"/>
    <w:lvl w:ilvl="0">
      <w:start w:val="1"/>
      <w:numFmt w:val="decimal"/>
      <w:pStyle w:val="Heading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88" w:hanging="43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602" w:hanging="43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659" w:hanging="431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716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773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830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887" w:hanging="431"/>
      </w:pPr>
      <w:rPr>
        <w:rFonts w:hint="default"/>
      </w:rPr>
    </w:lvl>
  </w:abstractNum>
  <w:abstractNum w:abstractNumId="2" w15:restartNumberingAfterBreak="0">
    <w:nsid w:val="5E5122EE"/>
    <w:multiLevelType w:val="hybridMultilevel"/>
    <w:tmpl w:val="3512630C"/>
    <w:lvl w:ilvl="0" w:tplc="BA76D2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178EC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FE0549"/>
    <w:multiLevelType w:val="multilevel"/>
    <w:tmpl w:val="650C0F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ED7D31" w:themeColor="accent2"/>
        <w:sz w:val="16"/>
        <w:szCs w:val="16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ED7D3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82"/>
    <w:rsid w:val="000230A4"/>
    <w:rsid w:val="00034DDC"/>
    <w:rsid w:val="000361BB"/>
    <w:rsid w:val="00036FE3"/>
    <w:rsid w:val="00097AD0"/>
    <w:rsid w:val="000A2E77"/>
    <w:rsid w:val="000A6764"/>
    <w:rsid w:val="000E0852"/>
    <w:rsid w:val="000F3757"/>
    <w:rsid w:val="000F5B27"/>
    <w:rsid w:val="00105C2F"/>
    <w:rsid w:val="00106FDE"/>
    <w:rsid w:val="0014264F"/>
    <w:rsid w:val="00156F20"/>
    <w:rsid w:val="0016441C"/>
    <w:rsid w:val="00180528"/>
    <w:rsid w:val="00192C3D"/>
    <w:rsid w:val="001D451A"/>
    <w:rsid w:val="001E07D7"/>
    <w:rsid w:val="001E343A"/>
    <w:rsid w:val="001F38A0"/>
    <w:rsid w:val="00207AC4"/>
    <w:rsid w:val="00221531"/>
    <w:rsid w:val="002239D9"/>
    <w:rsid w:val="0024286F"/>
    <w:rsid w:val="002639E1"/>
    <w:rsid w:val="00276F48"/>
    <w:rsid w:val="002832C0"/>
    <w:rsid w:val="00284614"/>
    <w:rsid w:val="00297517"/>
    <w:rsid w:val="002D05BC"/>
    <w:rsid w:val="002D2D03"/>
    <w:rsid w:val="002E6BE0"/>
    <w:rsid w:val="002F55A1"/>
    <w:rsid w:val="00300802"/>
    <w:rsid w:val="00310D24"/>
    <w:rsid w:val="0035319F"/>
    <w:rsid w:val="00361D52"/>
    <w:rsid w:val="00376DB0"/>
    <w:rsid w:val="003874D6"/>
    <w:rsid w:val="003A376E"/>
    <w:rsid w:val="003C01BB"/>
    <w:rsid w:val="003F210F"/>
    <w:rsid w:val="003F5429"/>
    <w:rsid w:val="003F763D"/>
    <w:rsid w:val="004419DF"/>
    <w:rsid w:val="00464DA8"/>
    <w:rsid w:val="00473AC5"/>
    <w:rsid w:val="00481295"/>
    <w:rsid w:val="004D59F9"/>
    <w:rsid w:val="004E1932"/>
    <w:rsid w:val="005174EA"/>
    <w:rsid w:val="0052736A"/>
    <w:rsid w:val="005939D4"/>
    <w:rsid w:val="005B6577"/>
    <w:rsid w:val="005C3764"/>
    <w:rsid w:val="005C48DC"/>
    <w:rsid w:val="005E19AF"/>
    <w:rsid w:val="005F26CB"/>
    <w:rsid w:val="006069FB"/>
    <w:rsid w:val="0063730E"/>
    <w:rsid w:val="006530C0"/>
    <w:rsid w:val="006F18F3"/>
    <w:rsid w:val="0070531C"/>
    <w:rsid w:val="007167F6"/>
    <w:rsid w:val="00722636"/>
    <w:rsid w:val="007372AC"/>
    <w:rsid w:val="00750B97"/>
    <w:rsid w:val="0078531A"/>
    <w:rsid w:val="00797FD5"/>
    <w:rsid w:val="007B2922"/>
    <w:rsid w:val="007B56E7"/>
    <w:rsid w:val="007C67A8"/>
    <w:rsid w:val="007E3CC3"/>
    <w:rsid w:val="00805D03"/>
    <w:rsid w:val="008134F5"/>
    <w:rsid w:val="00850B5B"/>
    <w:rsid w:val="00854ABE"/>
    <w:rsid w:val="00872765"/>
    <w:rsid w:val="008813A0"/>
    <w:rsid w:val="008868D4"/>
    <w:rsid w:val="00893D34"/>
    <w:rsid w:val="008C0AA5"/>
    <w:rsid w:val="009075DD"/>
    <w:rsid w:val="009330D3"/>
    <w:rsid w:val="0095283F"/>
    <w:rsid w:val="0098416C"/>
    <w:rsid w:val="0099465A"/>
    <w:rsid w:val="009A433F"/>
    <w:rsid w:val="009B4D51"/>
    <w:rsid w:val="009D2209"/>
    <w:rsid w:val="00A52D50"/>
    <w:rsid w:val="00A54F1B"/>
    <w:rsid w:val="00AA1815"/>
    <w:rsid w:val="00AB76C3"/>
    <w:rsid w:val="00AC57DE"/>
    <w:rsid w:val="00AE1880"/>
    <w:rsid w:val="00AE46CA"/>
    <w:rsid w:val="00AF3BA8"/>
    <w:rsid w:val="00B04EC2"/>
    <w:rsid w:val="00B25F61"/>
    <w:rsid w:val="00B35901"/>
    <w:rsid w:val="00B424FC"/>
    <w:rsid w:val="00B45C53"/>
    <w:rsid w:val="00B53AEA"/>
    <w:rsid w:val="00B76819"/>
    <w:rsid w:val="00B90BCC"/>
    <w:rsid w:val="00B9680C"/>
    <w:rsid w:val="00BA5B87"/>
    <w:rsid w:val="00BA750E"/>
    <w:rsid w:val="00BB3AA6"/>
    <w:rsid w:val="00BC5149"/>
    <w:rsid w:val="00BD2C57"/>
    <w:rsid w:val="00BD73AB"/>
    <w:rsid w:val="00BE7FAA"/>
    <w:rsid w:val="00C14944"/>
    <w:rsid w:val="00C371AD"/>
    <w:rsid w:val="00C5256D"/>
    <w:rsid w:val="00C750B1"/>
    <w:rsid w:val="00C9336C"/>
    <w:rsid w:val="00CB2FAD"/>
    <w:rsid w:val="00CE2744"/>
    <w:rsid w:val="00D24A06"/>
    <w:rsid w:val="00D277E4"/>
    <w:rsid w:val="00D46700"/>
    <w:rsid w:val="00D82A13"/>
    <w:rsid w:val="00D96291"/>
    <w:rsid w:val="00DA108A"/>
    <w:rsid w:val="00DB1DEB"/>
    <w:rsid w:val="00DE6D70"/>
    <w:rsid w:val="00E350A9"/>
    <w:rsid w:val="00E73592"/>
    <w:rsid w:val="00E91282"/>
    <w:rsid w:val="00E93141"/>
    <w:rsid w:val="00EB0B4A"/>
    <w:rsid w:val="00EB1D2F"/>
    <w:rsid w:val="00ED2EC0"/>
    <w:rsid w:val="00F1462A"/>
    <w:rsid w:val="00F17B5C"/>
    <w:rsid w:val="00F27BF3"/>
    <w:rsid w:val="00F7429C"/>
    <w:rsid w:val="00FB2F6F"/>
    <w:rsid w:val="00FB3F0D"/>
    <w:rsid w:val="00FC2B97"/>
    <w:rsid w:val="00FC2C26"/>
    <w:rsid w:val="00FC47C0"/>
    <w:rsid w:val="00FE280A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AA65432"/>
  <w15:docId w15:val="{4C6AF326-A6FF-44C9-8F62-5F822E48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D70"/>
    <w:pPr>
      <w:ind w:firstLine="851"/>
      <w:jc w:val="both"/>
    </w:pPr>
    <w:rPr>
      <w:rFonts w:eastAsiaTheme="minorEastAsia" w:cstheme="minorHAns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282"/>
    <w:pPr>
      <w:keepNext/>
      <w:pageBreakBefore/>
      <w:numPr>
        <w:numId w:val="1"/>
      </w:numP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282"/>
    <w:pPr>
      <w:keepNext/>
      <w:numPr>
        <w:ilvl w:val="1"/>
        <w:numId w:val="1"/>
      </w:numPr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282"/>
    <w:pPr>
      <w:keepNext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1282"/>
    <w:pPr>
      <w:keepNext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1282"/>
    <w:pPr>
      <w:keepNext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1282"/>
    <w:pPr>
      <w:keepNext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1282"/>
    <w:pPr>
      <w:keepNext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282"/>
    <w:pPr>
      <w:keepNext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282"/>
    <w:pPr>
      <w:keepNext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282"/>
    <w:rPr>
      <w:rFonts w:asciiTheme="majorHAnsi" w:eastAsiaTheme="majorEastAsia" w:hAnsiTheme="majorHAnsi" w:cstheme="majorBidi"/>
      <w:color w:val="1F4E79" w:themeColor="accent1" w:themeShade="80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12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1282"/>
    <w:rPr>
      <w:rFonts w:asciiTheme="majorHAnsi" w:eastAsiaTheme="majorEastAsia" w:hAnsiTheme="majorHAnsi" w:cstheme="majorBidi"/>
      <w:color w:val="2E74B5" w:themeColor="accent1" w:themeShade="BF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9128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9128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9128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E9128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28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28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E91282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E3CC3"/>
    <w:pPr>
      <w:keepNext/>
      <w:spacing w:line="240" w:lineRule="auto"/>
      <w:ind w:firstLine="709"/>
    </w:pPr>
    <w:rPr>
      <w:bCs/>
      <w:i/>
      <w:color w:val="44546A" w:themeColor="text2"/>
    </w:rPr>
  </w:style>
  <w:style w:type="table" w:customStyle="1" w:styleId="PlainTable11">
    <w:name w:val="Plain Table 11"/>
    <w:basedOn w:val="TableNormal"/>
    <w:uiPriority w:val="41"/>
    <w:rsid w:val="00E912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31">
    <w:name w:val="Grid Table 2 - Accent 31"/>
    <w:basedOn w:val="TableNormal"/>
    <w:uiPriority w:val="47"/>
    <w:rsid w:val="00E9128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link w:val="NoSpacingChar"/>
    <w:uiPriority w:val="1"/>
    <w:qFormat/>
    <w:rsid w:val="00E9128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91282"/>
    <w:rPr>
      <w:rFonts w:eastAsiaTheme="minorEastAsia"/>
      <w:lang w:val="en-US"/>
    </w:rPr>
  </w:style>
  <w:style w:type="table" w:customStyle="1" w:styleId="PlainTable21">
    <w:name w:val="Plain Table 21"/>
    <w:basedOn w:val="TableNormal"/>
    <w:uiPriority w:val="42"/>
    <w:rsid w:val="00310D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link w:val="ListParagraphChar"/>
    <w:uiPriority w:val="99"/>
    <w:qFormat/>
    <w:rsid w:val="00BB3AA6"/>
    <w:pPr>
      <w:numPr>
        <w:numId w:val="2"/>
      </w:numPr>
      <w:contextualSpacing/>
    </w:pPr>
    <w:rPr>
      <w:rFonts w:ascii="Calibri" w:eastAsiaTheme="minorHAns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A6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A6"/>
    <w:rPr>
      <w:rFonts w:ascii="Segoe UI" w:eastAsiaTheme="minorEastAsia" w:hAnsi="Segoe UI" w:cs="Segoe UI"/>
      <w:sz w:val="18"/>
      <w:szCs w:val="18"/>
    </w:rPr>
  </w:style>
  <w:style w:type="table" w:customStyle="1" w:styleId="PlainTable51">
    <w:name w:val="Plain Table 51"/>
    <w:basedOn w:val="TableNormal"/>
    <w:uiPriority w:val="45"/>
    <w:rsid w:val="000A2E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8461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614"/>
    <w:rPr>
      <w:rFonts w:ascii="Corbel" w:eastAsiaTheme="minorEastAsia" w:hAnsi="Corbel"/>
      <w:sz w:val="18"/>
    </w:rPr>
  </w:style>
  <w:style w:type="paragraph" w:styleId="Footer">
    <w:name w:val="footer"/>
    <w:basedOn w:val="Normal"/>
    <w:link w:val="FooterChar"/>
    <w:uiPriority w:val="99"/>
    <w:unhideWhenUsed/>
    <w:rsid w:val="0028461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614"/>
    <w:rPr>
      <w:rFonts w:ascii="Corbel" w:eastAsiaTheme="minorEastAsia" w:hAnsi="Corbel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76E"/>
    <w:rPr>
      <w:rFonts w:ascii="Corbel" w:eastAsiaTheme="minorEastAsia" w:hAnsi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76E"/>
    <w:rPr>
      <w:rFonts w:ascii="Corbel" w:eastAsiaTheme="minorEastAsia" w:hAnsi="Corbe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852"/>
    <w:pPr>
      <w:spacing w:after="0" w:line="240" w:lineRule="auto"/>
    </w:pPr>
    <w:rPr>
      <w:rFonts w:ascii="Corbel" w:eastAsiaTheme="minorEastAsia" w:hAnsi="Corbel"/>
      <w:sz w:val="18"/>
    </w:rPr>
  </w:style>
  <w:style w:type="paragraph" w:customStyle="1" w:styleId="BulletsFLevel2">
    <w:name w:val="Bullets F Level2"/>
    <w:basedOn w:val="Normal"/>
    <w:qFormat/>
    <w:rsid w:val="00DE6D70"/>
    <w:pPr>
      <w:numPr>
        <w:ilvl w:val="2"/>
        <w:numId w:val="3"/>
      </w:numPr>
      <w:spacing w:after="120" w:line="300" w:lineRule="auto"/>
      <w:contextualSpacing/>
    </w:pPr>
  </w:style>
  <w:style w:type="paragraph" w:customStyle="1" w:styleId="FigureStyle">
    <w:name w:val="FigureStyle"/>
    <w:basedOn w:val="Normal"/>
    <w:link w:val="FigureStyleChar"/>
    <w:qFormat/>
    <w:rsid w:val="0098416C"/>
    <w:pPr>
      <w:ind w:firstLine="0"/>
    </w:pPr>
    <w:rPr>
      <w:noProof/>
      <w:lang w:val="en-US"/>
    </w:rPr>
  </w:style>
  <w:style w:type="character" w:customStyle="1" w:styleId="FigureStyleChar">
    <w:name w:val="FigureStyle Char"/>
    <w:basedOn w:val="DefaultParagraphFont"/>
    <w:link w:val="FigureStyle"/>
    <w:rsid w:val="0098416C"/>
    <w:rPr>
      <w:rFonts w:eastAsiaTheme="minorEastAsia" w:cstheme="minorHAnsi"/>
      <w:noProof/>
      <w:sz w:val="18"/>
      <w:szCs w:val="18"/>
      <w:lang w:val="en-US"/>
    </w:rPr>
  </w:style>
  <w:style w:type="paragraph" w:customStyle="1" w:styleId="TableText">
    <w:name w:val="Table Text"/>
    <w:basedOn w:val="Normal"/>
    <w:link w:val="TableTextChar"/>
    <w:qFormat/>
    <w:rsid w:val="00DE6D70"/>
    <w:pPr>
      <w:keepNext/>
      <w:spacing w:after="0" w:line="264" w:lineRule="auto"/>
      <w:ind w:firstLine="34"/>
    </w:pPr>
    <w:rPr>
      <w:rFonts w:eastAsiaTheme="minorHAnsi"/>
      <w:i/>
      <w:iCs/>
    </w:rPr>
  </w:style>
  <w:style w:type="character" w:customStyle="1" w:styleId="TableTextChar">
    <w:name w:val="Table Text Char"/>
    <w:basedOn w:val="DefaultParagraphFont"/>
    <w:link w:val="TableText"/>
    <w:rsid w:val="00DE6D70"/>
    <w:rPr>
      <w:rFonts w:cstheme="minorHAnsi"/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7A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8813A0"/>
    <w:rPr>
      <w:rFonts w:ascii="Calibri" w:hAnsi="Calibri" w:cstheme="minorHAnsi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F6F"/>
    <w:pPr>
      <w:numPr>
        <w:ilvl w:val="1"/>
      </w:numPr>
      <w:ind w:firstLine="851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2F6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customXml" Target="../customXml/item3.xml"/><Relationship Id="rId21" Type="http://schemas.openxmlformats.org/officeDocument/2006/relationships/chart" Target="charts/chart9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hart" Target="charts/chart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hart" Target="charts/chart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hart" Target="charts/chart2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projekti\anketas\tehnolo&#291;ija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riss.Riekstins\AppData\Roaming\Microsoft\Excel\otr&#257;%20ar%20atbild&#275;m%20(version%201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projekti\anketas\ar%20visam%20atbild&#275;m\pirm&#257;%20anketa%20ar%20atbild&#275;m%20(Autosaved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projekti\anketas\SurveySummary_16082013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projekti\anketas\SurveySummary_16082013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projekti\anketas\SurveySummary_16082013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projekti\anketas\SurveySummary_16082013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projekti\anketas\SurveySummary_16082013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projekti\anketas\SurveySummary_16082013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projekti\anketas\ar%20visam%20atbild&#275;m\pirm&#257;%20anketa%20ar%20atbild&#275;m%20(Autosaved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Nozares uzņēmumu skaits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Sheet1!$O$5:$O$22</c:f>
              <c:strCache>
                <c:ptCount val="18"/>
                <c:pt idx="0">
                  <c:v>IKT pakalpojumi</c:v>
                </c:pt>
                <c:pt idx="1">
                  <c:v>Lauksaimniecība un mežsaimniecība</c:v>
                </c:pt>
                <c:pt idx="2">
                  <c:v>Profesionālie pakalpojumi</c:v>
                </c:pt>
                <c:pt idx="3">
                  <c:v>Datori, elektriskās un optiskās iekārtas</c:v>
                </c:pt>
                <c:pt idx="4">
                  <c:v>Veselības pakalpojumi</c:v>
                </c:pt>
                <c:pt idx="5">
                  <c:v>Kokrūpniecība</c:v>
                </c:pt>
                <c:pt idx="6">
                  <c:v>Radošās industrijas</c:v>
                </c:pt>
                <c:pt idx="7">
                  <c:v>Enerģētika</c:v>
                </c:pt>
                <c:pt idx="8">
                  <c:v>Vieglā rūpniecība</c:v>
                </c:pt>
                <c:pt idx="9">
                  <c:v>Ķīmiskā rūpniecība</c:v>
                </c:pt>
                <c:pt idx="10">
                  <c:v>Nemetālisko minerālu ražošana</c:v>
                </c:pt>
                <c:pt idx="11">
                  <c:v>Izdevējdarbība</c:v>
                </c:pt>
                <c:pt idx="12">
                  <c:v>Metāli un to izstrādājumu ražošana</c:v>
                </c:pt>
                <c:pt idx="13">
                  <c:v>Pārējā apstrādes rūpniecība</c:v>
                </c:pt>
                <c:pt idx="14">
                  <c:v>Mašīnbūve un transportlīdzekļi</c:v>
                </c:pt>
                <c:pt idx="15">
                  <c:v>Pārtikas rūpniecība</c:v>
                </c:pt>
                <c:pt idx="16">
                  <c:v>Būvniecība</c:v>
                </c:pt>
                <c:pt idx="17">
                  <c:v>Izglītība</c:v>
                </c:pt>
              </c:strCache>
            </c:strRef>
          </c:cat>
          <c:val>
            <c:numRef>
              <c:f>Sheet1!$T$5:$T$22</c:f>
              <c:numCache>
                <c:formatCode>General</c:formatCode>
                <c:ptCount val="18"/>
                <c:pt idx="0">
                  <c:v>31</c:v>
                </c:pt>
                <c:pt idx="1">
                  <c:v>28</c:v>
                </c:pt>
                <c:pt idx="2">
                  <c:v>11</c:v>
                </c:pt>
                <c:pt idx="3">
                  <c:v>7</c:v>
                </c:pt>
                <c:pt idx="4">
                  <c:v>5</c:v>
                </c:pt>
                <c:pt idx="5">
                  <c:v>8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8</c:v>
                </c:pt>
                <c:pt idx="10">
                  <c:v>2</c:v>
                </c:pt>
                <c:pt idx="11">
                  <c:v>4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8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90755712"/>
        <c:axId val="1590772032"/>
      </c:barChart>
      <c:lineChart>
        <c:grouping val="standard"/>
        <c:varyColors val="0"/>
        <c:ser>
          <c:idx val="1"/>
          <c:order val="1"/>
          <c:tx>
            <c:v>% no respondentiem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Sheet1!$O$5:$O$22</c:f>
              <c:strCache>
                <c:ptCount val="18"/>
                <c:pt idx="0">
                  <c:v>IKT pakalpojumi</c:v>
                </c:pt>
                <c:pt idx="1">
                  <c:v>Lauksaimniecība un mežsaimniecība</c:v>
                </c:pt>
                <c:pt idx="2">
                  <c:v>Profesionālie pakalpojumi</c:v>
                </c:pt>
                <c:pt idx="3">
                  <c:v>Datori, elektriskās un optiskās iekārtas</c:v>
                </c:pt>
                <c:pt idx="4">
                  <c:v>Veselības pakalpojumi</c:v>
                </c:pt>
                <c:pt idx="5">
                  <c:v>Kokrūpniecība</c:v>
                </c:pt>
                <c:pt idx="6">
                  <c:v>Radošās industrijas</c:v>
                </c:pt>
                <c:pt idx="7">
                  <c:v>Enerģētika</c:v>
                </c:pt>
                <c:pt idx="8">
                  <c:v>Vieglā rūpniecība</c:v>
                </c:pt>
                <c:pt idx="9">
                  <c:v>Ķīmiskā rūpniecība</c:v>
                </c:pt>
                <c:pt idx="10">
                  <c:v>Nemetālisko minerālu ražošana</c:v>
                </c:pt>
                <c:pt idx="11">
                  <c:v>Izdevējdarbība</c:v>
                </c:pt>
                <c:pt idx="12">
                  <c:v>Metāli un to izstrādājumu ražošana</c:v>
                </c:pt>
                <c:pt idx="13">
                  <c:v>Pārējā apstrādes rūpniecība</c:v>
                </c:pt>
                <c:pt idx="14">
                  <c:v>Mašīnbūve un transportlīdzekļi</c:v>
                </c:pt>
                <c:pt idx="15">
                  <c:v>Pārtikas rūpniecība</c:v>
                </c:pt>
                <c:pt idx="16">
                  <c:v>Būvniecība</c:v>
                </c:pt>
                <c:pt idx="17">
                  <c:v>Izglītība</c:v>
                </c:pt>
              </c:strCache>
            </c:strRef>
          </c:cat>
          <c:val>
            <c:numRef>
              <c:f>Sheet1!$U$5:$U$22</c:f>
              <c:numCache>
                <c:formatCode>0%</c:formatCode>
                <c:ptCount val="18"/>
                <c:pt idx="0">
                  <c:v>0.25203252032520335</c:v>
                </c:pt>
                <c:pt idx="1">
                  <c:v>0.22764227642276424</c:v>
                </c:pt>
                <c:pt idx="2">
                  <c:v>8.9430894308943243E-2</c:v>
                </c:pt>
                <c:pt idx="3">
                  <c:v>5.6910569105691054E-2</c:v>
                </c:pt>
                <c:pt idx="4">
                  <c:v>4.065040650406504E-2</c:v>
                </c:pt>
                <c:pt idx="5">
                  <c:v>6.5040650406504072E-2</c:v>
                </c:pt>
                <c:pt idx="6">
                  <c:v>1.6260162601626021E-2</c:v>
                </c:pt>
                <c:pt idx="7">
                  <c:v>1.6260162601626021E-2</c:v>
                </c:pt>
                <c:pt idx="8">
                  <c:v>8.130081300813009E-3</c:v>
                </c:pt>
                <c:pt idx="9">
                  <c:v>6.5040650406504072E-2</c:v>
                </c:pt>
                <c:pt idx="10">
                  <c:v>1.6260162601626021E-2</c:v>
                </c:pt>
                <c:pt idx="11">
                  <c:v>3.2520325203252036E-2</c:v>
                </c:pt>
                <c:pt idx="12">
                  <c:v>1.6260162601626021E-2</c:v>
                </c:pt>
                <c:pt idx="13">
                  <c:v>8.130081300813009E-3</c:v>
                </c:pt>
                <c:pt idx="14">
                  <c:v>8.130081300813009E-3</c:v>
                </c:pt>
                <c:pt idx="15">
                  <c:v>6.5040650406504072E-2</c:v>
                </c:pt>
                <c:pt idx="16">
                  <c:v>8.130081300813009E-3</c:v>
                </c:pt>
                <c:pt idx="17">
                  <c:v>8.130081300813009E-3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0757344"/>
        <c:axId val="1590772576"/>
      </c:lineChart>
      <c:catAx>
        <c:axId val="159075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90772032"/>
        <c:crosses val="autoZero"/>
        <c:auto val="1"/>
        <c:lblAlgn val="ctr"/>
        <c:lblOffset val="100"/>
        <c:noMultiLvlLbl val="0"/>
      </c:catAx>
      <c:valAx>
        <c:axId val="159077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90755712"/>
        <c:crosses val="autoZero"/>
        <c:crossBetween val="between"/>
      </c:valAx>
      <c:valAx>
        <c:axId val="1590772576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90757344"/>
        <c:crosses val="max"/>
        <c:crossBetween val="between"/>
      </c:valAx>
      <c:catAx>
        <c:axId val="15907573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15907725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Atbilžu skaits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18'!$AG$10:$AQ$10</c:f>
              <c:strCache>
                <c:ptCount val="10"/>
                <c:pt idx="0">
                  <c:v>Lauksaimniecība un mežkopības zinātne</c:v>
                </c:pt>
                <c:pt idx="1">
                  <c:v>Būvniecība</c:v>
                </c:pt>
                <c:pt idx="2">
                  <c:v>Datorzinātne un informātika</c:v>
                </c:pt>
                <c:pt idx="3">
                  <c:v>Inženierzinātnes (dažādas)</c:v>
                </c:pt>
                <c:pt idx="4">
                  <c:v>Ķīmijas zinātnes</c:v>
                </c:pt>
                <c:pt idx="5">
                  <c:v>Bioloģija</c:v>
                </c:pt>
                <c:pt idx="6">
                  <c:v>Ekonomika un bizness</c:v>
                </c:pt>
                <c:pt idx="7">
                  <c:v>Elektrotehnika</c:v>
                </c:pt>
                <c:pt idx="8">
                  <c:v>Mašīnbūve</c:v>
                </c:pt>
                <c:pt idx="9">
                  <c:v>Ražošanas tehnologi</c:v>
                </c:pt>
              </c:strCache>
            </c:strRef>
          </c:cat>
          <c:val>
            <c:numRef>
              <c:f>'Question 18'!$AG$40:$AQ$40</c:f>
              <c:numCache>
                <c:formatCode>General</c:formatCode>
                <c:ptCount val="10"/>
                <c:pt idx="0">
                  <c:v>7</c:v>
                </c:pt>
                <c:pt idx="1">
                  <c:v>3</c:v>
                </c:pt>
                <c:pt idx="2">
                  <c:v>7</c:v>
                </c:pt>
                <c:pt idx="3">
                  <c:v>12</c:v>
                </c:pt>
                <c:pt idx="4">
                  <c:v>4</c:v>
                </c:pt>
                <c:pt idx="5">
                  <c:v>1</c:v>
                </c:pt>
                <c:pt idx="6">
                  <c:v>3</c:v>
                </c:pt>
                <c:pt idx="7">
                  <c:v>5</c:v>
                </c:pt>
                <c:pt idx="8">
                  <c:v>2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7779392"/>
        <c:axId val="1627776128"/>
      </c:barChart>
      <c:lineChart>
        <c:grouping val="standard"/>
        <c:varyColors val="0"/>
        <c:ser>
          <c:idx val="1"/>
          <c:order val="1"/>
          <c:tx>
            <c:v>% no atbildēm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'Question 18'!$AG$41:$AQ$41</c:f>
              <c:numCache>
                <c:formatCode>0%</c:formatCode>
                <c:ptCount val="10"/>
                <c:pt idx="0">
                  <c:v>0.13461538461538491</c:v>
                </c:pt>
                <c:pt idx="1">
                  <c:v>5.7692307692307723E-2</c:v>
                </c:pt>
                <c:pt idx="2">
                  <c:v>0.13461538461538491</c:v>
                </c:pt>
                <c:pt idx="3">
                  <c:v>0.23076923076923242</c:v>
                </c:pt>
                <c:pt idx="4">
                  <c:v>7.6923076923076927E-2</c:v>
                </c:pt>
                <c:pt idx="5">
                  <c:v>1.9230769230769381E-2</c:v>
                </c:pt>
                <c:pt idx="6">
                  <c:v>5.7692307692307723E-2</c:v>
                </c:pt>
                <c:pt idx="7">
                  <c:v>9.6153846153847131E-2</c:v>
                </c:pt>
                <c:pt idx="8">
                  <c:v>3.8461538461538464E-2</c:v>
                </c:pt>
                <c:pt idx="9">
                  <c:v>0.15384615384615524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7776672"/>
        <c:axId val="1627777216"/>
      </c:lineChart>
      <c:catAx>
        <c:axId val="162777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76128"/>
        <c:crosses val="autoZero"/>
        <c:auto val="1"/>
        <c:lblAlgn val="ctr"/>
        <c:lblOffset val="100"/>
        <c:noMultiLvlLbl val="0"/>
      </c:catAx>
      <c:valAx>
        <c:axId val="162777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79392"/>
        <c:crosses val="autoZero"/>
        <c:crossBetween val="between"/>
      </c:valAx>
      <c:catAx>
        <c:axId val="1627776672"/>
        <c:scaling>
          <c:orientation val="minMax"/>
        </c:scaling>
        <c:delete val="1"/>
        <c:axPos val="b"/>
        <c:majorTickMark val="none"/>
        <c:minorTickMark val="none"/>
        <c:tickLblPos val="none"/>
        <c:crossAx val="1627777216"/>
        <c:crosses val="autoZero"/>
        <c:auto val="1"/>
        <c:lblAlgn val="ctr"/>
        <c:lblOffset val="100"/>
        <c:noMultiLvlLbl val="0"/>
      </c:catAx>
      <c:valAx>
        <c:axId val="1627777216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76672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Jauno produktu/pakalpojumu skaits</c:v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'[1]Question 6'!$A$4:$A$15</c:f>
              <c:strCache>
                <c:ptCount val="12"/>
                <c:pt idx="0">
                  <c:v>Idejas stadija</c:v>
                </c:pt>
                <c:pt idx="1">
                  <c:v>Tirgus potenciāla noskaidrošana</c:v>
                </c:pt>
                <c:pt idx="2">
                  <c:v>Dokumentācijas izstrāde</c:v>
                </c:pt>
                <c:pt idx="3">
                  <c:v>Eksperimentēšana un analīze</c:v>
                </c:pt>
                <c:pt idx="4">
                  <c:v>Prototipa izstrāde</c:v>
                </c:pt>
                <c:pt idx="5">
                  <c:v>Dizaina precizēšana</c:v>
                </c:pt>
                <c:pt idx="6">
                  <c:v>Testēšana</c:v>
                </c:pt>
                <c:pt idx="7">
                  <c:v>Izgudrojuma aizsardzība </c:v>
                </c:pt>
                <c:pt idx="8">
                  <c:v>Ieviešana ražošanā</c:v>
                </c:pt>
                <c:pt idx="9">
                  <c:v>Mārketingā plāns</c:v>
                </c:pt>
                <c:pt idx="10">
                  <c:v>Ieviešana tirgū</c:v>
                </c:pt>
                <c:pt idx="11">
                  <c:v>Tirgus paplašināšana</c:v>
                </c:pt>
              </c:strCache>
            </c:strRef>
          </c:cat>
          <c:val>
            <c:numRef>
              <c:f>'Question 6'!$D$4:$D$15</c:f>
              <c:numCache>
                <c:formatCode>#,###</c:formatCode>
                <c:ptCount val="12"/>
                <c:pt idx="0">
                  <c:v>645</c:v>
                </c:pt>
                <c:pt idx="1">
                  <c:v>319</c:v>
                </c:pt>
                <c:pt idx="2">
                  <c:v>277</c:v>
                </c:pt>
                <c:pt idx="3">
                  <c:v>261</c:v>
                </c:pt>
                <c:pt idx="4">
                  <c:v>180</c:v>
                </c:pt>
                <c:pt idx="5">
                  <c:v>177</c:v>
                </c:pt>
                <c:pt idx="6">
                  <c:v>190</c:v>
                </c:pt>
                <c:pt idx="7">
                  <c:v>71</c:v>
                </c:pt>
                <c:pt idx="8">
                  <c:v>238</c:v>
                </c:pt>
                <c:pt idx="9">
                  <c:v>229</c:v>
                </c:pt>
                <c:pt idx="10">
                  <c:v>274</c:v>
                </c:pt>
                <c:pt idx="11">
                  <c:v>360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0757888"/>
        <c:axId val="1590775296"/>
      </c:barChart>
      <c:lineChart>
        <c:grouping val="standard"/>
        <c:varyColors val="0"/>
        <c:ser>
          <c:idx val="1"/>
          <c:order val="1"/>
          <c:tx>
            <c:v>Vidējais produktu skaits uz vienu atbildi sniegušo uzņēmumu</c:v>
          </c:tx>
          <c:spPr>
            <a:ln w="25400">
              <a:solidFill>
                <a:srgbClr val="FF6600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'Question 6'!$C$4:$C$15</c:f>
              <c:numCache>
                <c:formatCode>#,###.00</c:formatCode>
                <c:ptCount val="12"/>
                <c:pt idx="0">
                  <c:v>5.8599999999999994</c:v>
                </c:pt>
                <c:pt idx="1">
                  <c:v>3.8899999999999997</c:v>
                </c:pt>
                <c:pt idx="2">
                  <c:v>3.79</c:v>
                </c:pt>
                <c:pt idx="3">
                  <c:v>3.2600000000000002</c:v>
                </c:pt>
                <c:pt idx="4">
                  <c:v>2.9499999999999997</c:v>
                </c:pt>
                <c:pt idx="5">
                  <c:v>3.11</c:v>
                </c:pt>
                <c:pt idx="6">
                  <c:v>2.79</c:v>
                </c:pt>
                <c:pt idx="7">
                  <c:v>3.38</c:v>
                </c:pt>
                <c:pt idx="8">
                  <c:v>3.66</c:v>
                </c:pt>
                <c:pt idx="9">
                  <c:v>4.1599999999999993</c:v>
                </c:pt>
                <c:pt idx="10">
                  <c:v>4.1499999999999995</c:v>
                </c:pt>
                <c:pt idx="11">
                  <c:v>6.1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0758976"/>
        <c:axId val="1590781824"/>
      </c:lineChart>
      <c:catAx>
        <c:axId val="159075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DDDDDD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lv-LV"/>
          </a:p>
        </c:txPr>
        <c:crossAx val="1590775296"/>
        <c:crosses val="autoZero"/>
        <c:auto val="1"/>
        <c:lblAlgn val="ctr"/>
        <c:lblOffset val="100"/>
        <c:noMultiLvlLbl val="0"/>
      </c:catAx>
      <c:valAx>
        <c:axId val="1590775296"/>
        <c:scaling>
          <c:orientation val="minMax"/>
        </c:scaling>
        <c:delete val="0"/>
        <c:axPos val="l"/>
        <c:majorGridlines>
          <c:spPr>
            <a:ln w="3175">
              <a:solidFill>
                <a:srgbClr val="DDDDDD"/>
              </a:solidFill>
              <a:prstDash val="solid"/>
            </a:ln>
          </c:spPr>
        </c:majorGridlines>
        <c:numFmt formatCode="#,###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/>
            </a:pPr>
            <a:endParaRPr lang="lv-LV"/>
          </a:p>
        </c:txPr>
        <c:crossAx val="1590757888"/>
        <c:crosses val="autoZero"/>
        <c:crossBetween val="between"/>
      </c:valAx>
      <c:catAx>
        <c:axId val="1590758976"/>
        <c:scaling>
          <c:orientation val="minMax"/>
        </c:scaling>
        <c:delete val="1"/>
        <c:axPos val="b"/>
        <c:majorTickMark val="out"/>
        <c:minorTickMark val="none"/>
        <c:tickLblPos val="none"/>
        <c:crossAx val="1590781824"/>
        <c:crosses val="autoZero"/>
        <c:auto val="1"/>
        <c:lblAlgn val="ctr"/>
        <c:lblOffset val="100"/>
        <c:noMultiLvlLbl val="0"/>
      </c:catAx>
      <c:valAx>
        <c:axId val="1590781824"/>
        <c:scaling>
          <c:orientation val="minMax"/>
        </c:scaling>
        <c:delete val="0"/>
        <c:axPos val="r"/>
        <c:numFmt formatCode="#,###.00" sourceLinked="1"/>
        <c:majorTickMark val="out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/>
            </a:pPr>
            <a:endParaRPr lang="lv-LV"/>
          </a:p>
        </c:txPr>
        <c:crossAx val="1590758976"/>
        <c:crosses val="max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DDDDDD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333333"/>
          </a:solidFill>
          <a:latin typeface="+mn-lt"/>
          <a:ea typeface="Calibri"/>
          <a:cs typeface="Calibri"/>
        </a:defRPr>
      </a:pPr>
      <a:endParaRPr lang="lv-L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v>Nav šķērslis</c:v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12'!$A$4:$A$15</c:f>
              <c:strCache>
                <c:ptCount val="12"/>
                <c:pt idx="0">
                  <c:v>Kvalificēta personāla trūkums</c:v>
                </c:pt>
                <c:pt idx="1">
                  <c:v>Universitātēm vai pētniecības iestādēm nav nepieciešamās kompetences, lai sniegtu nepieciešamos pakalpojumus</c:v>
                </c:pt>
                <c:pt idx="2">
                  <c:v>Pārāk dārgi nepieciešamie pakalpojumi no universitātēm vai pētniecības iestādēm</c:v>
                </c:pt>
                <c:pt idx="3">
                  <c:v>Augsts jaunu produktu izstrādes risks (iespēja, ka neizdosies radīt strādājošu produktu)</c:v>
                </c:pt>
                <c:pt idx="4">
                  <c:v>Augsts jaunu produktu/pakalpojumu pārdošanas risks (iespēja, ka  produktam nebūs pietiekoši augsta pircēju atsaucība)</c:v>
                </c:pt>
                <c:pt idx="5">
                  <c:v>Ilgtspējas risks (risks, ka konkurenti ātri radīs līdzīgu produktu un izkonkurēs Jūsējo)</c:v>
                </c:pt>
                <c:pt idx="6">
                  <c:v>Informācijas trūkums par tām tehnoloģijām, kuras varētu būt pamatā jaunajiem produktiem</c:v>
                </c:pt>
                <c:pt idx="7">
                  <c:v>Pārāk augsts nepieciešamais investīciju apjoms līdz ražošanas uzsākšanai</c:v>
                </c:pt>
                <c:pt idx="8">
                  <c:v>Nepieciešams eksporta tirgus, jo vietējais ir par mazu, lai atpelnītu investīcijas</c:v>
                </c:pt>
                <c:pt idx="9">
                  <c:v>Nav pieejamas iekārtas pētniecībai, jaunu produktu testēšanai, testa partiju veidošanai vai konstruēšanai</c:v>
                </c:pt>
                <c:pt idx="10">
                  <c:v>Trūkst spējīgu sadarbības piegādātāju un/vai sadarbības partneru</c:v>
                </c:pt>
                <c:pt idx="11">
                  <c:v>Trūkst pētniecības infrastruktūras, ko varētu izmantot nepieciešamajiem testiem, izstrādēm, konstruēšanai</c:v>
                </c:pt>
              </c:strCache>
            </c:strRef>
          </c:cat>
          <c:val>
            <c:numRef>
              <c:f>'Question 12'!$C$31:$C$42</c:f>
              <c:numCache>
                <c:formatCode>General</c:formatCode>
                <c:ptCount val="12"/>
                <c:pt idx="0">
                  <c:v>7</c:v>
                </c:pt>
                <c:pt idx="1">
                  <c:v>18</c:v>
                </c:pt>
                <c:pt idx="2">
                  <c:v>21</c:v>
                </c:pt>
                <c:pt idx="3">
                  <c:v>13</c:v>
                </c:pt>
                <c:pt idx="4">
                  <c:v>7</c:v>
                </c:pt>
                <c:pt idx="5">
                  <c:v>13</c:v>
                </c:pt>
                <c:pt idx="6">
                  <c:v>20</c:v>
                </c:pt>
                <c:pt idx="7">
                  <c:v>2</c:v>
                </c:pt>
                <c:pt idx="8">
                  <c:v>17</c:v>
                </c:pt>
                <c:pt idx="9">
                  <c:v>29</c:v>
                </c:pt>
                <c:pt idx="10">
                  <c:v>30</c:v>
                </c:pt>
                <c:pt idx="11">
                  <c:v>20</c:v>
                </c:pt>
              </c:numCache>
            </c:numRef>
          </c:val>
        </c:ser>
        <c:ser>
          <c:idx val="1"/>
          <c:order val="1"/>
          <c:tx>
            <c:v>Neliels šķērslis</c:v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12'!$A$4:$A$15</c:f>
              <c:strCache>
                <c:ptCount val="12"/>
                <c:pt idx="0">
                  <c:v>Kvalificēta personāla trūkums</c:v>
                </c:pt>
                <c:pt idx="1">
                  <c:v>Universitātēm vai pētniecības iestādēm nav nepieciešamās kompetences, lai sniegtu nepieciešamos pakalpojumus</c:v>
                </c:pt>
                <c:pt idx="2">
                  <c:v>Pārāk dārgi nepieciešamie pakalpojumi no universitātēm vai pētniecības iestādēm</c:v>
                </c:pt>
                <c:pt idx="3">
                  <c:v>Augsts jaunu produktu izstrādes risks (iespēja, ka neizdosies radīt strādājošu produktu)</c:v>
                </c:pt>
                <c:pt idx="4">
                  <c:v>Augsts jaunu produktu/pakalpojumu pārdošanas risks (iespēja, ka  produktam nebūs pietiekoši augsta pircēju atsaucība)</c:v>
                </c:pt>
                <c:pt idx="5">
                  <c:v>Ilgtspējas risks (risks, ka konkurenti ātri radīs līdzīgu produktu un izkonkurēs Jūsējo)</c:v>
                </c:pt>
                <c:pt idx="6">
                  <c:v>Informācijas trūkums par tām tehnoloģijām, kuras varētu būt pamatā jaunajiem produktiem</c:v>
                </c:pt>
                <c:pt idx="7">
                  <c:v>Pārāk augsts nepieciešamais investīciju apjoms līdz ražošanas uzsākšanai</c:v>
                </c:pt>
                <c:pt idx="8">
                  <c:v>Nepieciešams eksporta tirgus, jo vietējais ir par mazu, lai atpelnītu investīcijas</c:v>
                </c:pt>
                <c:pt idx="9">
                  <c:v>Nav pieejamas iekārtas pētniecībai, jaunu produktu testēšanai, testa partiju veidošanai vai konstruēšanai</c:v>
                </c:pt>
                <c:pt idx="10">
                  <c:v>Trūkst spējīgu sadarbības piegādātāju un/vai sadarbības partneru</c:v>
                </c:pt>
                <c:pt idx="11">
                  <c:v>Trūkst pētniecības infrastruktūras, ko varētu izmantot nepieciešamajiem testiem, izstrādēm, konstruēšanai</c:v>
                </c:pt>
              </c:strCache>
            </c:strRef>
          </c:cat>
          <c:val>
            <c:numRef>
              <c:f>'Question 12'!$D$31:$D$42</c:f>
              <c:numCache>
                <c:formatCode>General</c:formatCode>
                <c:ptCount val="12"/>
                <c:pt idx="0">
                  <c:v>39</c:v>
                </c:pt>
                <c:pt idx="1">
                  <c:v>41</c:v>
                </c:pt>
                <c:pt idx="2">
                  <c:v>44</c:v>
                </c:pt>
                <c:pt idx="3">
                  <c:v>38</c:v>
                </c:pt>
                <c:pt idx="4">
                  <c:v>40</c:v>
                </c:pt>
                <c:pt idx="5">
                  <c:v>50</c:v>
                </c:pt>
                <c:pt idx="6">
                  <c:v>53</c:v>
                </c:pt>
                <c:pt idx="7">
                  <c:v>19</c:v>
                </c:pt>
                <c:pt idx="8">
                  <c:v>29</c:v>
                </c:pt>
                <c:pt idx="9">
                  <c:v>33</c:v>
                </c:pt>
                <c:pt idx="10">
                  <c:v>52</c:v>
                </c:pt>
                <c:pt idx="11">
                  <c:v>43</c:v>
                </c:pt>
              </c:numCache>
            </c:numRef>
          </c:val>
        </c:ser>
        <c:ser>
          <c:idx val="2"/>
          <c:order val="2"/>
          <c:tx>
            <c:v>Būtisks apgrūtinājums</c:v>
          </c:tx>
          <c:spPr>
            <a:solidFill>
              <a:srgbClr val="A5A5A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12'!$A$4:$A$15</c:f>
              <c:strCache>
                <c:ptCount val="12"/>
                <c:pt idx="0">
                  <c:v>Kvalificēta personāla trūkums</c:v>
                </c:pt>
                <c:pt idx="1">
                  <c:v>Universitātēm vai pētniecības iestādēm nav nepieciešamās kompetences, lai sniegtu nepieciešamos pakalpojumus</c:v>
                </c:pt>
                <c:pt idx="2">
                  <c:v>Pārāk dārgi nepieciešamie pakalpojumi no universitātēm vai pētniecības iestādēm</c:v>
                </c:pt>
                <c:pt idx="3">
                  <c:v>Augsts jaunu produktu izstrādes risks (iespēja, ka neizdosies radīt strādājošu produktu)</c:v>
                </c:pt>
                <c:pt idx="4">
                  <c:v>Augsts jaunu produktu/pakalpojumu pārdošanas risks (iespēja, ka  produktam nebūs pietiekoši augsta pircēju atsaucība)</c:v>
                </c:pt>
                <c:pt idx="5">
                  <c:v>Ilgtspējas risks (risks, ka konkurenti ātri radīs līdzīgu produktu un izkonkurēs Jūsējo)</c:v>
                </c:pt>
                <c:pt idx="6">
                  <c:v>Informācijas trūkums par tām tehnoloģijām, kuras varētu būt pamatā jaunajiem produktiem</c:v>
                </c:pt>
                <c:pt idx="7">
                  <c:v>Pārāk augsts nepieciešamais investīciju apjoms līdz ražošanas uzsākšanai</c:v>
                </c:pt>
                <c:pt idx="8">
                  <c:v>Nepieciešams eksporta tirgus, jo vietējais ir par mazu, lai atpelnītu investīcijas</c:v>
                </c:pt>
                <c:pt idx="9">
                  <c:v>Nav pieejamas iekārtas pētniecībai, jaunu produktu testēšanai, testa partiju veidošanai vai konstruēšanai</c:v>
                </c:pt>
                <c:pt idx="10">
                  <c:v>Trūkst spējīgu sadarbības piegādātāju un/vai sadarbības partneru</c:v>
                </c:pt>
                <c:pt idx="11">
                  <c:v>Trūkst pētniecības infrastruktūras, ko varētu izmantot nepieciešamajiem testiem, izstrādēm, konstruēšanai</c:v>
                </c:pt>
              </c:strCache>
            </c:strRef>
          </c:cat>
          <c:val>
            <c:numRef>
              <c:f>'Question 12'!$E$31:$E$42</c:f>
              <c:numCache>
                <c:formatCode>General</c:formatCode>
                <c:ptCount val="12"/>
                <c:pt idx="0">
                  <c:v>72</c:v>
                </c:pt>
                <c:pt idx="1">
                  <c:v>55</c:v>
                </c:pt>
                <c:pt idx="2">
                  <c:v>43</c:v>
                </c:pt>
                <c:pt idx="3">
                  <c:v>66</c:v>
                </c:pt>
                <c:pt idx="4">
                  <c:v>68</c:v>
                </c:pt>
                <c:pt idx="5">
                  <c:v>55</c:v>
                </c:pt>
                <c:pt idx="6">
                  <c:v>42</c:v>
                </c:pt>
                <c:pt idx="7">
                  <c:v>82</c:v>
                </c:pt>
                <c:pt idx="8">
                  <c:v>60</c:v>
                </c:pt>
                <c:pt idx="9">
                  <c:v>44</c:v>
                </c:pt>
                <c:pt idx="10">
                  <c:v>36</c:v>
                </c:pt>
                <c:pt idx="11">
                  <c:v>44</c:v>
                </c:pt>
              </c:numCache>
            </c:numRef>
          </c:val>
        </c:ser>
        <c:ser>
          <c:idx val="3"/>
          <c:order val="3"/>
          <c:tx>
            <c:v>Nepārvarama problēma</c:v>
          </c:tx>
          <c:spPr>
            <a:solidFill>
              <a:srgbClr val="FFC00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12'!$A$4:$A$15</c:f>
              <c:strCache>
                <c:ptCount val="12"/>
                <c:pt idx="0">
                  <c:v>Kvalificēta personāla trūkums</c:v>
                </c:pt>
                <c:pt idx="1">
                  <c:v>Universitātēm vai pētniecības iestādēm nav nepieciešamās kompetences, lai sniegtu nepieciešamos pakalpojumus</c:v>
                </c:pt>
                <c:pt idx="2">
                  <c:v>Pārāk dārgi nepieciešamie pakalpojumi no universitātēm vai pētniecības iestādēm</c:v>
                </c:pt>
                <c:pt idx="3">
                  <c:v>Augsts jaunu produktu izstrādes risks (iespēja, ka neizdosies radīt strādājošu produktu)</c:v>
                </c:pt>
                <c:pt idx="4">
                  <c:v>Augsts jaunu produktu/pakalpojumu pārdošanas risks (iespēja, ka  produktam nebūs pietiekoši augsta pircēju atsaucība)</c:v>
                </c:pt>
                <c:pt idx="5">
                  <c:v>Ilgtspējas risks (risks, ka konkurenti ātri radīs līdzīgu produktu un izkonkurēs Jūsējo)</c:v>
                </c:pt>
                <c:pt idx="6">
                  <c:v>Informācijas trūkums par tām tehnoloģijām, kuras varētu būt pamatā jaunajiem produktiem</c:v>
                </c:pt>
                <c:pt idx="7">
                  <c:v>Pārāk augsts nepieciešamais investīciju apjoms līdz ražošanas uzsākšanai</c:v>
                </c:pt>
                <c:pt idx="8">
                  <c:v>Nepieciešams eksporta tirgus, jo vietējais ir par mazu, lai atpelnītu investīcijas</c:v>
                </c:pt>
                <c:pt idx="9">
                  <c:v>Nav pieejamas iekārtas pētniecībai, jaunu produktu testēšanai, testa partiju veidošanai vai konstruēšanai</c:v>
                </c:pt>
                <c:pt idx="10">
                  <c:v>Trūkst spējīgu sadarbības piegādātāju un/vai sadarbības partneru</c:v>
                </c:pt>
                <c:pt idx="11">
                  <c:v>Trūkst pētniecības infrastruktūras, ko varētu izmantot nepieciešamajiem testiem, izstrādēm, konstruēšanai</c:v>
                </c:pt>
              </c:strCache>
            </c:strRef>
          </c:cat>
          <c:val>
            <c:numRef>
              <c:f>'Question 12'!$F$31:$F$42</c:f>
              <c:numCache>
                <c:formatCode>General</c:formatCode>
                <c:ptCount val="12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4</c:v>
                </c:pt>
                <c:pt idx="7">
                  <c:v>18</c:v>
                </c:pt>
                <c:pt idx="8">
                  <c:v>13</c:v>
                </c:pt>
                <c:pt idx="9">
                  <c:v>11</c:v>
                </c:pt>
                <c:pt idx="10">
                  <c:v>1</c:v>
                </c:pt>
                <c:pt idx="1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90776928"/>
        <c:axId val="1590775840"/>
      </c:barChart>
      <c:catAx>
        <c:axId val="1590776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>
            <a:solidFill>
              <a:srgbClr val="DDDDDD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lv-LV"/>
          </a:p>
        </c:txPr>
        <c:crossAx val="1590775840"/>
        <c:crosses val="autoZero"/>
        <c:auto val="1"/>
        <c:lblAlgn val="ctr"/>
        <c:lblOffset val="100"/>
        <c:noMultiLvlLbl val="0"/>
      </c:catAx>
      <c:valAx>
        <c:axId val="1590775840"/>
        <c:scaling>
          <c:orientation val="minMax"/>
        </c:scaling>
        <c:delete val="0"/>
        <c:axPos val="b"/>
        <c:majorGridlines>
          <c:spPr>
            <a:ln w="3175">
              <a:solidFill>
                <a:srgbClr val="DDDDDD"/>
              </a:solidFill>
              <a:prstDash val="solid"/>
            </a:ln>
          </c:spPr>
        </c:majorGridlines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/>
            </a:pPr>
            <a:endParaRPr lang="lv-LV"/>
          </a:p>
        </c:txPr>
        <c:crossAx val="1590776928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/>
      <c:overlay val="0"/>
    </c:legend>
    <c:plotVisOnly val="1"/>
    <c:dispBlanksAs val="gap"/>
    <c:showDLblsOverMax val="0"/>
  </c:chart>
  <c:spPr>
    <a:solidFill>
      <a:srgbClr val="FFFFFF"/>
    </a:solidFill>
    <a:ln w="3175">
      <a:solidFill>
        <a:srgbClr val="DDDDDD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333333"/>
          </a:solidFill>
          <a:latin typeface="+mn-lt"/>
          <a:ea typeface="Calibri"/>
          <a:cs typeface="Calibri"/>
        </a:defRPr>
      </a:pPr>
      <a:endParaRPr lang="lv-L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v>Atbilžu skaits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9"/>
              <c:layout>
                <c:manualLayout>
                  <c:x val="8.635578583765112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635578583765112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13'!$J$110:$R$110</c:f>
              <c:strCache>
                <c:ptCount val="9"/>
                <c:pt idx="0">
                  <c:v>Vieglāka finansējuma piesaiste</c:v>
                </c:pt>
                <c:pt idx="1">
                  <c:v>Eksporta veicināšana</c:v>
                </c:pt>
                <c:pt idx="2">
                  <c:v>Izglītības kvalitātes uzlabošana</c:v>
                </c:pt>
                <c:pt idx="3">
                  <c:v>Atbalsts tehnoloģiju iegādei</c:v>
                </c:pt>
                <c:pt idx="4">
                  <c:v>Pielietojamās zinātnes veicināšana</c:v>
                </c:pt>
                <c:pt idx="5">
                  <c:v>Uzņēnumam specifiskas vajadzības</c:v>
                </c:pt>
                <c:pt idx="6">
                  <c:v>Infrastruktūras uzlabošana</c:v>
                </c:pt>
                <c:pt idx="7">
                  <c:v>Vietējās uzņēmējdarbības vides uzlabošana</c:v>
                </c:pt>
                <c:pt idx="8">
                  <c:v>Nodokļu samazināšana/atlaides</c:v>
                </c:pt>
              </c:strCache>
            </c:strRef>
          </c:cat>
          <c:val>
            <c:numRef>
              <c:f>'Question 13'!$J$108:$R$108</c:f>
              <c:numCache>
                <c:formatCode>General</c:formatCode>
                <c:ptCount val="9"/>
                <c:pt idx="0">
                  <c:v>45</c:v>
                </c:pt>
                <c:pt idx="1">
                  <c:v>34</c:v>
                </c:pt>
                <c:pt idx="2">
                  <c:v>37</c:v>
                </c:pt>
                <c:pt idx="3">
                  <c:v>43</c:v>
                </c:pt>
                <c:pt idx="4">
                  <c:v>46</c:v>
                </c:pt>
                <c:pt idx="5">
                  <c:v>26</c:v>
                </c:pt>
                <c:pt idx="6">
                  <c:v>13</c:v>
                </c:pt>
                <c:pt idx="7">
                  <c:v>28</c:v>
                </c:pt>
                <c:pt idx="8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90777472"/>
        <c:axId val="1590778560"/>
      </c:barChart>
      <c:catAx>
        <c:axId val="159077747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90778560"/>
        <c:crosses val="autoZero"/>
        <c:auto val="1"/>
        <c:lblAlgn val="ctr"/>
        <c:lblOffset val="100"/>
        <c:noMultiLvlLbl val="0"/>
      </c:catAx>
      <c:valAx>
        <c:axId val="1590778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90777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Atbilžu skaits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'14 continued'!$Q$48:$Y$48</c:f>
              <c:strCache>
                <c:ptCount val="9"/>
                <c:pt idx="0">
                  <c:v>Zemākas cilvēkresursu izmaksas</c:v>
                </c:pt>
                <c:pt idx="1">
                  <c:v>Ģeogrāfiskais novietojums</c:v>
                </c:pt>
                <c:pt idx="2">
                  <c:v>Zeme, meži kā resurss</c:v>
                </c:pt>
                <c:pt idx="3">
                  <c:v>Zemākas ražošanas izmaksas</c:v>
                </c:pt>
                <c:pt idx="4">
                  <c:v>Finansējuma pieejamība</c:v>
                </c:pt>
                <c:pt idx="5">
                  <c:v>Uzņēmumam specifiskas priekšrocības</c:v>
                </c:pt>
                <c:pt idx="6">
                  <c:v>Cilvēkresursu zināšanas, kvalifikācija</c:v>
                </c:pt>
                <c:pt idx="7">
                  <c:v>Tehnoloģijas, infrastruktūra</c:v>
                </c:pt>
                <c:pt idx="8">
                  <c:v>Cits</c:v>
                </c:pt>
              </c:strCache>
            </c:strRef>
          </c:cat>
          <c:val>
            <c:numRef>
              <c:f>'14 continued'!$Q$49:$Y$49</c:f>
              <c:numCache>
                <c:formatCode>General</c:formatCode>
                <c:ptCount val="9"/>
                <c:pt idx="0">
                  <c:v>28</c:v>
                </c:pt>
                <c:pt idx="1">
                  <c:v>53</c:v>
                </c:pt>
                <c:pt idx="2">
                  <c:v>35</c:v>
                </c:pt>
                <c:pt idx="3">
                  <c:v>17</c:v>
                </c:pt>
                <c:pt idx="4">
                  <c:v>6</c:v>
                </c:pt>
                <c:pt idx="5">
                  <c:v>25</c:v>
                </c:pt>
                <c:pt idx="6">
                  <c:v>50</c:v>
                </c:pt>
                <c:pt idx="7">
                  <c:v>10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7770688"/>
        <c:axId val="1627774496"/>
      </c:barChart>
      <c:lineChart>
        <c:grouping val="standard"/>
        <c:varyColors val="0"/>
        <c:ser>
          <c:idx val="1"/>
          <c:order val="1"/>
          <c:tx>
            <c:v>% no atbildēm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'14 continued'!$Q$50:$Y$50</c:f>
              <c:numCache>
                <c:formatCode>0%</c:formatCode>
                <c:ptCount val="9"/>
                <c:pt idx="0">
                  <c:v>0.12280701754385964</c:v>
                </c:pt>
                <c:pt idx="1">
                  <c:v>0.23245614035087744</c:v>
                </c:pt>
                <c:pt idx="2">
                  <c:v>0.15350877192982459</c:v>
                </c:pt>
                <c:pt idx="3">
                  <c:v>7.4561403508771981E-2</c:v>
                </c:pt>
                <c:pt idx="4">
                  <c:v>2.6315789473684216E-2</c:v>
                </c:pt>
                <c:pt idx="5">
                  <c:v>0.10964912280701759</c:v>
                </c:pt>
                <c:pt idx="6">
                  <c:v>0.21929824561403644</c:v>
                </c:pt>
                <c:pt idx="7">
                  <c:v>4.3859649122807015E-2</c:v>
                </c:pt>
                <c:pt idx="8">
                  <c:v>1.7543859649122993E-2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7769600"/>
        <c:axId val="1627773408"/>
      </c:lineChart>
      <c:catAx>
        <c:axId val="162777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74496"/>
        <c:crosses val="autoZero"/>
        <c:auto val="1"/>
        <c:lblAlgn val="ctr"/>
        <c:lblOffset val="100"/>
        <c:noMultiLvlLbl val="0"/>
      </c:catAx>
      <c:valAx>
        <c:axId val="1627774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70688"/>
        <c:crosses val="autoZero"/>
        <c:crossBetween val="between"/>
      </c:valAx>
      <c:catAx>
        <c:axId val="1627769600"/>
        <c:scaling>
          <c:orientation val="minMax"/>
        </c:scaling>
        <c:delete val="1"/>
        <c:axPos val="b"/>
        <c:majorTickMark val="none"/>
        <c:minorTickMark val="none"/>
        <c:tickLblPos val="none"/>
        <c:crossAx val="1627773408"/>
        <c:crosses val="autoZero"/>
        <c:auto val="1"/>
        <c:lblAlgn val="ctr"/>
        <c:lblOffset val="100"/>
        <c:noMultiLvlLbl val="0"/>
      </c:catAx>
      <c:valAx>
        <c:axId val="1627773408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69600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Atbilžu skaits</c:v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15'!$L$10:$W$10</c:f>
              <c:strCache>
                <c:ptCount val="12"/>
                <c:pt idx="0">
                  <c:v>Nodokļi</c:v>
                </c:pt>
                <c:pt idx="1">
                  <c:v>Investīciju trūkums</c:v>
                </c:pt>
                <c:pt idx="2">
                  <c:v>Nepietiekama sadarbība ar zinātni</c:v>
                </c:pt>
                <c:pt idx="3">
                  <c:v>Ražošanas izmaksas</c:v>
                </c:pt>
                <c:pt idx="4">
                  <c:v>Citi</c:v>
                </c:pt>
                <c:pt idx="5">
                  <c:v>Nepietiekami cilvēkresursi</c:v>
                </c:pt>
                <c:pt idx="6">
                  <c:v>Nepietiekams valsts atbalsts</c:v>
                </c:pt>
                <c:pt idx="7">
                  <c:v>Nepietiekama infrastruktūra</c:v>
                </c:pt>
                <c:pt idx="8">
                  <c:v>Klimats</c:v>
                </c:pt>
                <c:pt idx="9">
                  <c:v>Vietējā tirgus īpašības</c:v>
                </c:pt>
                <c:pt idx="10">
                  <c:v>Resursu pieejamība</c:v>
                </c:pt>
                <c:pt idx="11">
                  <c:v>Valsts administratīvā sistēma</c:v>
                </c:pt>
              </c:strCache>
            </c:strRef>
          </c:cat>
          <c:val>
            <c:numRef>
              <c:f>'Question 15'!$L$97:$W$97</c:f>
              <c:numCache>
                <c:formatCode>General</c:formatCode>
                <c:ptCount val="12"/>
                <c:pt idx="0">
                  <c:v>53</c:v>
                </c:pt>
                <c:pt idx="1">
                  <c:v>27</c:v>
                </c:pt>
                <c:pt idx="2">
                  <c:v>5</c:v>
                </c:pt>
                <c:pt idx="3">
                  <c:v>38</c:v>
                </c:pt>
                <c:pt idx="4">
                  <c:v>36</c:v>
                </c:pt>
                <c:pt idx="5">
                  <c:v>42</c:v>
                </c:pt>
                <c:pt idx="6">
                  <c:v>16</c:v>
                </c:pt>
                <c:pt idx="7">
                  <c:v>7</c:v>
                </c:pt>
                <c:pt idx="8">
                  <c:v>4</c:v>
                </c:pt>
                <c:pt idx="9">
                  <c:v>17</c:v>
                </c:pt>
                <c:pt idx="10">
                  <c:v>6</c:v>
                </c:pt>
                <c:pt idx="1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7772320"/>
        <c:axId val="1627773952"/>
      </c:barChart>
      <c:lineChart>
        <c:grouping val="standard"/>
        <c:varyColors val="0"/>
        <c:ser>
          <c:idx val="1"/>
          <c:order val="1"/>
          <c:tx>
            <c:v>% no atbildēm</c:v>
          </c:tx>
          <c:marker>
            <c:symbol val="none"/>
          </c:marker>
          <c:dLbls>
            <c:spPr>
              <a:noFill/>
              <a:ln w="25400">
                <a:noFill/>
              </a:ln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'Question 15'!$L$98:$W$98</c:f>
              <c:numCache>
                <c:formatCode>0%</c:formatCode>
                <c:ptCount val="12"/>
                <c:pt idx="0">
                  <c:v>0.28648648648648811</c:v>
                </c:pt>
                <c:pt idx="1">
                  <c:v>0.14594594594594695</c:v>
                </c:pt>
                <c:pt idx="2">
                  <c:v>2.7027027027027258E-2</c:v>
                </c:pt>
                <c:pt idx="3">
                  <c:v>0.20540540540540703</c:v>
                </c:pt>
                <c:pt idx="4">
                  <c:v>0.19459459459459474</c:v>
                </c:pt>
                <c:pt idx="5">
                  <c:v>0.22702702702702704</c:v>
                </c:pt>
                <c:pt idx="6">
                  <c:v>8.6486486486486505E-2</c:v>
                </c:pt>
                <c:pt idx="7">
                  <c:v>3.7837837837838055E-2</c:v>
                </c:pt>
                <c:pt idx="8">
                  <c:v>2.1621621621621651E-2</c:v>
                </c:pt>
                <c:pt idx="9">
                  <c:v>9.1891891891892716E-2</c:v>
                </c:pt>
                <c:pt idx="10">
                  <c:v>3.2432432432432441E-2</c:v>
                </c:pt>
                <c:pt idx="11">
                  <c:v>9.1891891891892716E-2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7782112"/>
        <c:axId val="1627769056"/>
      </c:lineChart>
      <c:catAx>
        <c:axId val="162777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DDDDDD"/>
            </a:solidFill>
            <a:prstDash val="solid"/>
          </a:ln>
        </c:spPr>
        <c:txPr>
          <a:bodyPr rot="-54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lv-LV"/>
          </a:p>
        </c:txPr>
        <c:crossAx val="1627773952"/>
        <c:crosses val="autoZero"/>
        <c:auto val="0"/>
        <c:lblAlgn val="ctr"/>
        <c:lblOffset val="100"/>
        <c:noMultiLvlLbl val="0"/>
      </c:catAx>
      <c:valAx>
        <c:axId val="1627773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lv-LV"/>
          </a:p>
        </c:txPr>
        <c:crossAx val="1627772320"/>
        <c:crosses val="autoZero"/>
        <c:crossBetween val="between"/>
      </c:valAx>
      <c:catAx>
        <c:axId val="1627782112"/>
        <c:scaling>
          <c:orientation val="minMax"/>
        </c:scaling>
        <c:delete val="1"/>
        <c:axPos val="b"/>
        <c:majorTickMark val="out"/>
        <c:minorTickMark val="none"/>
        <c:tickLblPos val="none"/>
        <c:crossAx val="1627769056"/>
        <c:crosses val="autoZero"/>
        <c:auto val="1"/>
        <c:lblAlgn val="ctr"/>
        <c:lblOffset val="100"/>
        <c:noMultiLvlLbl val="0"/>
      </c:catAx>
      <c:valAx>
        <c:axId val="1627769056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1627782112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DDDDDD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333333"/>
          </a:solidFill>
          <a:latin typeface="Calibri"/>
          <a:ea typeface="Calibri"/>
          <a:cs typeface="Calibri"/>
        </a:defRPr>
      </a:pPr>
      <a:endParaRPr lang="lv-LV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v>Jā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16'!$A$4:$A$10</c:f>
              <c:strCache>
                <c:ptCount val="7"/>
                <c:pt idx="0">
                  <c:v>Pieejams bankas aizdevums</c:v>
                </c:pt>
                <c:pt idx="1">
                  <c:v>Valsts garantijas aizdevumam</c:v>
                </c:pt>
                <c:pt idx="2">
                  <c:v>Valsts garantēts aizdevums, kuros atdošana notiek tikai projekta veiksmes gadījumā</c:v>
                </c:pt>
                <c:pt idx="3">
                  <c:v>Finansējums pētniecībai, daļēji finansējot pētniecības izdevumus, ko pasūtītu laboratorijām vai pētniecības institūtiem</c:v>
                </c:pt>
                <c:pt idx="4">
                  <c:v>Uzņēmuma ienākuma nodokļu atlaide „Pētniecības un Attīstības” izmaksām</c:v>
                </c:pt>
                <c:pt idx="5">
                  <c:v>Valsts garantijas aizdevumam jaunu ražošanas iekārtu iegādei jaunu produktu ražošanai</c:v>
                </c:pt>
                <c:pt idx="6">
                  <c:v>Grants (neatgriežama palīdzība no valsts tikai pētniecības izdevumiem)</c:v>
                </c:pt>
              </c:strCache>
            </c:strRef>
          </c:cat>
          <c:val>
            <c:numRef>
              <c:f>'Question 16'!$C$4:$C$10</c:f>
              <c:numCache>
                <c:formatCode>General</c:formatCode>
                <c:ptCount val="7"/>
                <c:pt idx="0">
                  <c:v>59</c:v>
                </c:pt>
                <c:pt idx="1">
                  <c:v>60</c:v>
                </c:pt>
                <c:pt idx="2">
                  <c:v>79</c:v>
                </c:pt>
                <c:pt idx="3">
                  <c:v>102</c:v>
                </c:pt>
                <c:pt idx="4">
                  <c:v>101</c:v>
                </c:pt>
                <c:pt idx="5">
                  <c:v>78</c:v>
                </c:pt>
                <c:pt idx="6">
                  <c:v>101</c:v>
                </c:pt>
              </c:numCache>
            </c:numRef>
          </c:val>
        </c:ser>
        <c:ser>
          <c:idx val="1"/>
          <c:order val="1"/>
          <c:tx>
            <c:v>Nē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16'!$A$4:$A$10</c:f>
              <c:strCache>
                <c:ptCount val="7"/>
                <c:pt idx="0">
                  <c:v>Pieejams bankas aizdevums</c:v>
                </c:pt>
                <c:pt idx="1">
                  <c:v>Valsts garantijas aizdevumam</c:v>
                </c:pt>
                <c:pt idx="2">
                  <c:v>Valsts garantēts aizdevums, kuros atdošana notiek tikai projekta veiksmes gadījumā</c:v>
                </c:pt>
                <c:pt idx="3">
                  <c:v>Finansējums pētniecībai, daļēji finansējot pētniecības izdevumus, ko pasūtītu laboratorijām vai pētniecības institūtiem</c:v>
                </c:pt>
                <c:pt idx="4">
                  <c:v>Uzņēmuma ienākuma nodokļu atlaide „Pētniecības un Attīstības” izmaksām</c:v>
                </c:pt>
                <c:pt idx="5">
                  <c:v>Valsts garantijas aizdevumam jaunu ražošanas iekārtu iegādei jaunu produktu ražošanai</c:v>
                </c:pt>
                <c:pt idx="6">
                  <c:v>Grants (neatgriežama palīdzība no valsts tikai pētniecības izdevumiem)</c:v>
                </c:pt>
              </c:strCache>
            </c:strRef>
          </c:cat>
          <c:val>
            <c:numRef>
              <c:f>'Question 16'!$D$4:$D$10</c:f>
              <c:numCache>
                <c:formatCode>General</c:formatCode>
                <c:ptCount val="7"/>
                <c:pt idx="0">
                  <c:v>57</c:v>
                </c:pt>
                <c:pt idx="1">
                  <c:v>51</c:v>
                </c:pt>
                <c:pt idx="2">
                  <c:v>33</c:v>
                </c:pt>
                <c:pt idx="3">
                  <c:v>15</c:v>
                </c:pt>
                <c:pt idx="4">
                  <c:v>16</c:v>
                </c:pt>
                <c:pt idx="5">
                  <c:v>39</c:v>
                </c:pt>
                <c:pt idx="6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27766880"/>
        <c:axId val="1627770144"/>
      </c:barChart>
      <c:catAx>
        <c:axId val="1627766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70144"/>
        <c:crosses val="autoZero"/>
        <c:auto val="1"/>
        <c:lblAlgn val="ctr"/>
        <c:lblOffset val="100"/>
        <c:noMultiLvlLbl val="0"/>
      </c:catAx>
      <c:valAx>
        <c:axId val="1627770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66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v>Nekavē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17'!$A$4:$A$6</c:f>
              <c:strCache>
                <c:ptCount val="3"/>
                <c:pt idx="0">
                  <c:v>Platjoslas interneta pieejamība</c:v>
                </c:pt>
                <c:pt idx="1">
                  <c:v>Mobilo sakaru pārklājums</c:v>
                </c:pt>
                <c:pt idx="2">
                  <c:v>Ātrgaitas mobilā interneta sakaru pārklājums</c:v>
                </c:pt>
              </c:strCache>
            </c:strRef>
          </c:cat>
          <c:val>
            <c:numRef>
              <c:f>'Question 17'!$C$4:$C$6</c:f>
              <c:numCache>
                <c:formatCode>General</c:formatCode>
                <c:ptCount val="3"/>
                <c:pt idx="0">
                  <c:v>81</c:v>
                </c:pt>
                <c:pt idx="1">
                  <c:v>91</c:v>
                </c:pt>
                <c:pt idx="2">
                  <c:v>82</c:v>
                </c:pt>
              </c:numCache>
            </c:numRef>
          </c:val>
        </c:ser>
        <c:ser>
          <c:idx val="1"/>
          <c:order val="1"/>
          <c:tx>
            <c:v>Rada papildus izmaksas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17'!$A$4:$A$6</c:f>
              <c:strCache>
                <c:ptCount val="3"/>
                <c:pt idx="0">
                  <c:v>Platjoslas interneta pieejamība</c:v>
                </c:pt>
                <c:pt idx="1">
                  <c:v>Mobilo sakaru pārklājums</c:v>
                </c:pt>
                <c:pt idx="2">
                  <c:v>Ātrgaitas mobilā interneta sakaru pārklājums</c:v>
                </c:pt>
              </c:strCache>
            </c:strRef>
          </c:cat>
          <c:val>
            <c:numRef>
              <c:f>'Question 17'!$D$4:$D$6</c:f>
              <c:numCache>
                <c:formatCode>General</c:formatCode>
                <c:ptCount val="3"/>
                <c:pt idx="0">
                  <c:v>19</c:v>
                </c:pt>
                <c:pt idx="1">
                  <c:v>13</c:v>
                </c:pt>
                <c:pt idx="2">
                  <c:v>20</c:v>
                </c:pt>
              </c:numCache>
            </c:numRef>
          </c:val>
        </c:ser>
        <c:ser>
          <c:idx val="2"/>
          <c:order val="2"/>
          <c:tx>
            <c:v>Kavē attīstību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17'!$A$4:$A$6</c:f>
              <c:strCache>
                <c:ptCount val="3"/>
                <c:pt idx="0">
                  <c:v>Platjoslas interneta pieejamība</c:v>
                </c:pt>
                <c:pt idx="1">
                  <c:v>Mobilo sakaru pārklājums</c:v>
                </c:pt>
                <c:pt idx="2">
                  <c:v>Ātrgaitas mobilā interneta sakaru pārklājums</c:v>
                </c:pt>
              </c:strCache>
            </c:strRef>
          </c:cat>
          <c:val>
            <c:numRef>
              <c:f>'Question 17'!$E$4:$E$6</c:f>
              <c:numCache>
                <c:formatCode>General</c:formatCode>
                <c:ptCount val="3"/>
                <c:pt idx="0">
                  <c:v>15</c:v>
                </c:pt>
                <c:pt idx="1">
                  <c:v>12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v>Būtiski kavē attīstību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17'!$A$4:$A$6</c:f>
              <c:strCache>
                <c:ptCount val="3"/>
                <c:pt idx="0">
                  <c:v>Platjoslas interneta pieejamība</c:v>
                </c:pt>
                <c:pt idx="1">
                  <c:v>Mobilo sakaru pārklājums</c:v>
                </c:pt>
                <c:pt idx="2">
                  <c:v>Ātrgaitas mobilā interneta sakaru pārklājums</c:v>
                </c:pt>
              </c:strCache>
            </c:strRef>
          </c:cat>
          <c:val>
            <c:numRef>
              <c:f>'Question 17'!$F$4:$F$6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27781568"/>
        <c:axId val="1627775040"/>
      </c:barChart>
      <c:catAx>
        <c:axId val="1627781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75040"/>
        <c:crosses val="autoZero"/>
        <c:auto val="1"/>
        <c:lblAlgn val="ctr"/>
        <c:lblOffset val="100"/>
        <c:noMultiLvlLbl val="0"/>
      </c:catAx>
      <c:valAx>
        <c:axId val="1627775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8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v>Atbilžu skaits</c:v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'Question 18'!$K$88:$Q$88</c:f>
              <c:strCache>
                <c:ptCount val="7"/>
                <c:pt idx="0">
                  <c:v>Veicināt komunikāciju un mobilitāti starp zinātniskajām institūcijām un uzņēmējiem</c:v>
                </c:pt>
                <c:pt idx="1">
                  <c:v>Kopēja finansējuma un grantu nepieciešamība</c:v>
                </c:pt>
                <c:pt idx="2">
                  <c:v>Izglītības programmu sasaistīšana ar uzņēmēju vajadzībām</c:v>
                </c:pt>
                <c:pt idx="3">
                  <c:v>Dot iespēju uzņēmējiem pētīt arī nelielas problēmas, ne tikai lielas</c:v>
                </c:pt>
                <c:pt idx="4">
                  <c:v>Sakārtot iekārtu un pētniecības pakalpojumu reģistru un cenrādi</c:v>
                </c:pt>
                <c:pt idx="5">
                  <c:v>Padarīt pētniecības pakalpojumus pieejamus Latvijas uzņēmējiem</c:v>
                </c:pt>
                <c:pt idx="6">
                  <c:v>Uzņēmumam specifiski priekšlikumi</c:v>
                </c:pt>
              </c:strCache>
            </c:strRef>
          </c:cat>
          <c:val>
            <c:numRef>
              <c:f>'Question 18'!$K$81:$Q$81</c:f>
              <c:numCache>
                <c:formatCode>General</c:formatCode>
                <c:ptCount val="7"/>
                <c:pt idx="0">
                  <c:v>43</c:v>
                </c:pt>
                <c:pt idx="1">
                  <c:v>43</c:v>
                </c:pt>
                <c:pt idx="2">
                  <c:v>40</c:v>
                </c:pt>
                <c:pt idx="3">
                  <c:v>22</c:v>
                </c:pt>
                <c:pt idx="4">
                  <c:v>22</c:v>
                </c:pt>
                <c:pt idx="5">
                  <c:v>36</c:v>
                </c:pt>
                <c:pt idx="6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7771776"/>
        <c:axId val="1627775584"/>
      </c:barChart>
      <c:catAx>
        <c:axId val="1627771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75584"/>
        <c:crosses val="autoZero"/>
        <c:auto val="1"/>
        <c:lblAlgn val="ctr"/>
        <c:lblOffset val="100"/>
        <c:noMultiLvlLbl val="0"/>
      </c:catAx>
      <c:valAx>
        <c:axId val="1627775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277717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2013</PublishDate>
  <Abstract/>
  <CompanyAddress>Antonijas iela 5, Rīga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dea projekta pamata informācija" ma:contentTypeID="0x010100196B78652E5E7A42A458883B83E2D3740035856787A63BCB4A8503E6E4FC921592" ma:contentTypeVersion="14" ma:contentTypeDescription="Dokumenta bāzes tips, kas ir saistīts ar konkrētu projektu." ma:contentTypeScope="" ma:versionID="adf3f26a6fc2f915348ef431e8be86ef">
  <xsd:schema xmlns:xsd="http://www.w3.org/2001/XMLSchema" xmlns:xs="http://www.w3.org/2001/XMLSchema" xmlns:p="http://schemas.microsoft.com/office/2006/metadata/properties" xmlns:ns1="http://schemas.microsoft.com/sharepoint/v3" xmlns:ns2="58a5323c-72ac-4ab4-a9cd-9c3fb0b52b19" targetNamespace="http://schemas.microsoft.com/office/2006/metadata/properties" ma:root="true" ma:fieldsID="9c48efaeb2e7d210e6df15b06c40a26c" ns1:_="" ns2:_="">
    <xsd:import namespace="http://schemas.microsoft.com/sharepoint/v3"/>
    <xsd:import namespace="58a5323c-72ac-4ab4-a9cd-9c3fb0b52b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tatuss" minOccurs="0"/>
                <xsd:element ref="ns1: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3" nillable="true" ma:displayName="Categories" ma:description="Dokumenta piešķiramā kategorija lai atšķirtu dokumentus pēc tipa. Norāda &quot;no rokas&quot;. Piemēram &quot;Līguma paraugs&quot;, &quot;pielikums Nr.1&quot;, &quot;Projekta pieteikums&quot; utt.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5323c-72ac-4ab4-a9cd-9c3fb0b52b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9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tuss" ma:index="11" nillable="true" ma:displayName="Statuss" ma:default="Sagatavošanā" ma:description="Sagatavošanā ir visi dokumenti ar kuriem vēl strādā FIDEA un kuri nav nodoti gala versijā.&#10;Pabeigti ir dokumenti, kuri ir gala versijā, un kuru iespējamie labojumi būs jauni dokumenti&#10;-Informācija - visi dokumenti, kuri ir ienākošie un uz kuriem neattiecas apstrādes statuss, piemēram ārēji pētījumi, likumi, no klienta saņemtā informācija" ma:format="Dropdown" ma:internalName="Statuss">
      <xsd:simpleType>
        <xsd:union memberTypes="dms:Text">
          <xsd:simpleType>
            <xsd:restriction base="dms:Choice">
              <xsd:enumeration value="Sagatavošanā"/>
              <xsd:enumeration value="Pabeigts"/>
              <xsd:enumeration value="-Info-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 ma:index="12" ma:displayName="Piezīme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 xmlns="http://schemas.microsoft.com/sharepoint/v3">Gala dokumenti</Categories>
    <Statuss xmlns="58a5323c-72ac-4ab4-a9cd-9c3fb0b52b19">Pabeigts</Statuss>
    <_dlc_DocId xmlns="58a5323c-72ac-4ab4-a9cd-9c3fb0b52b19">FT4M3ZN43RRY-32-150</_dlc_DocId>
    <_dlc_DocIdUrl xmlns="58a5323c-72ac-4ab4-a9cd-9c3fb0b52b19">
      <Url>https://fidea.sharepoint.com/projects/ris3_industry_assesment/_layouts/15/DocIdRedir.aspx?ID=FT4M3ZN43RRY-32-150</Url>
      <Description>FT4M3ZN43RRY-32-150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FA864D-9030-4C46-81BF-569FD9640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3CEAC-2227-4A08-871F-4F018367DF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25893A-683C-47EF-8E73-2809D0937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5323c-72ac-4ab4-a9cd-9c3fb0b52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1167D5-C1CF-4EFE-BFDB-848D1FE6A6D5}">
  <ds:schemaRefs>
    <ds:schemaRef ds:uri="http://purl.org/dc/terms/"/>
    <ds:schemaRef ds:uri="58a5323c-72ac-4ab4-a9cd-9c3fb0b52b19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5CCCFC5-19B7-4AE1-946B-4483AC44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6759</Words>
  <Characters>3854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UZŅĒMĒJU APTAUJAS REZULTĀTI</vt:lpstr>
    </vt:vector>
  </TitlesOfParts>
  <Company>FIDEA SIA</Company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UZŅĒMĒJU APTAUJAS REZULTĀTI</dc:title>
  <dc:subject>Pielikums: Uzņēmēju aptaujas rezultāti</dc:subject>
  <dc:creator>FIDEA SIA</dc:creator>
  <cp:keywords/>
  <dc:description/>
  <cp:lastModifiedBy>Andra Feldmane</cp:lastModifiedBy>
  <cp:revision>2</cp:revision>
  <cp:lastPrinted>2013-09-03T14:15:00Z</cp:lastPrinted>
  <dcterms:created xsi:type="dcterms:W3CDTF">2015-12-03T18:55:00Z</dcterms:created>
  <dcterms:modified xsi:type="dcterms:W3CDTF">2015-12-03T18:55:00Z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0x010100196B78652E5E7A42A458883B83E2D3740035856787A63BCB4A8503E6E4FC921592</vt:lpwstr>
  </property>
  <property fmtid="{D5CDD505-2E9C-101B-9397-08002B2CF9AE}" pid="3" name="_dlc_DocIdItemGuid">
    <vt:lpwstr>d1218d3b-1e1a-4a16-8412-7baaf65e5067</vt:lpwstr>
  </property>
</Properties>
</file>