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iagrams/data1.xml" ContentType="application/vnd.openxmlformats-officedocument.drawingml.diagramData+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diagrams/layout1.xml" ContentType="application/vnd.openxmlformats-officedocument.drawingml.diagramLayout+xml"/>
  <Override PartName="/word/theme/themeOverride5.xml" ContentType="application/vnd.openxmlformats-officedocument.themeOverride+xml"/>
  <Override PartName="/word/charts/chart7.xml" ContentType="application/vnd.openxmlformats-officedocument.drawingml.chart+xml"/>
  <Override PartName="/word/diagrams/colors1.xml" ContentType="application/vnd.openxmlformats-officedocument.drawingml.diagramColors+xml"/>
  <Override PartName="/word/diagrams/drawing1.xml" ContentType="application/vnd.ms-office.drawingml.diagramDrawing+xml"/>
  <Override PartName="/word/theme/theme1.xml" ContentType="application/vnd.openxmlformats-officedocument.theme+xml"/>
  <Override PartName="/word/diagrams/quickStyle1.xml" ContentType="application/vnd.openxmlformats-officedocument.drawingml.diagramStyle+xml"/>
  <Override PartName="/word/theme/themeOverride4.xml" ContentType="application/vnd.openxmlformats-officedocument.themeOverride+xml"/>
  <Override PartName="/word/charts/chart6.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1.xml" ContentType="application/vnd.openxmlformats-officedocument.drawingml.chart+xml"/>
  <Override PartName="/word/charts/chart3.xml" ContentType="application/vnd.openxmlformats-officedocument.drawingml.chart+xml"/>
  <Override PartName="/word/theme/themeOverride2.xml" ContentType="application/vnd.openxmlformats-officedocument.themeOverride+xml"/>
  <Override PartName="/word/theme/themeOverride3.xml" ContentType="application/vnd.openxmlformats-officedocument.themeOverride+xml"/>
  <Override PartName="/word/charts/chart4.xml" ContentType="application/vnd.openxmlformats-officedocument.drawingml.chart+xml"/>
  <Override PartName="/word/charts/chart5.xml" ContentType="application/vnd.openxmlformats-officedocument.drawingml.chart+xml"/>
  <Override PartName="/word/settings.xml" ContentType="application/vnd.openxmlformats-officedocument.wordprocessingml.settings+xml"/>
  <Override PartName="/word/stylesWithEffects.xml" ContentType="application/vnd.ms-word.stylesWithEffects+xml"/>
  <Override PartName="/customXml/itemProps1.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5CF" w:rsidRPr="00E67A0E" w:rsidRDefault="009245CF" w:rsidP="009245CF">
      <w:pPr>
        <w:autoSpaceDE w:val="0"/>
        <w:autoSpaceDN w:val="0"/>
        <w:adjustRightInd w:val="0"/>
        <w:jc w:val="right"/>
        <w:rPr>
          <w:rFonts w:eastAsia="PMingLiU"/>
          <w:szCs w:val="28"/>
        </w:rPr>
      </w:pPr>
      <w:r w:rsidRPr="00E67A0E">
        <w:rPr>
          <w:rFonts w:eastAsia="PMingLiU"/>
          <w:szCs w:val="28"/>
        </w:rPr>
        <w:t xml:space="preserve">(Ministru kabineta </w:t>
      </w:r>
    </w:p>
    <w:p w:rsidR="009245CF" w:rsidRPr="00E67A0E" w:rsidRDefault="009245CF" w:rsidP="009245CF">
      <w:pPr>
        <w:autoSpaceDE w:val="0"/>
        <w:autoSpaceDN w:val="0"/>
        <w:adjustRightInd w:val="0"/>
        <w:jc w:val="right"/>
        <w:rPr>
          <w:rFonts w:eastAsia="PMingLiU"/>
          <w:szCs w:val="28"/>
        </w:rPr>
      </w:pPr>
      <w:r w:rsidRPr="00E67A0E">
        <w:rPr>
          <w:rFonts w:eastAsia="PMingLiU"/>
          <w:szCs w:val="28"/>
        </w:rPr>
        <w:t>201</w:t>
      </w:r>
      <w:r w:rsidR="003131C6" w:rsidRPr="00E67A0E">
        <w:rPr>
          <w:rFonts w:eastAsia="PMingLiU"/>
          <w:szCs w:val="28"/>
        </w:rPr>
        <w:t>3</w:t>
      </w:r>
      <w:r w:rsidRPr="00E67A0E">
        <w:rPr>
          <w:rFonts w:eastAsia="PMingLiU"/>
          <w:szCs w:val="28"/>
        </w:rPr>
        <w:t xml:space="preserve">.gada __________ </w:t>
      </w:r>
    </w:p>
    <w:p w:rsidR="009245CF" w:rsidRPr="00E67A0E" w:rsidRDefault="009245CF" w:rsidP="009245CF">
      <w:pPr>
        <w:ind w:right="-143"/>
        <w:jc w:val="right"/>
        <w:rPr>
          <w:sz w:val="26"/>
          <w:szCs w:val="26"/>
        </w:rPr>
      </w:pPr>
      <w:r w:rsidRPr="00E67A0E">
        <w:rPr>
          <w:rFonts w:eastAsia="PMingLiU"/>
          <w:szCs w:val="28"/>
        </w:rPr>
        <w:t>rīkojums Nr.____)</w:t>
      </w:r>
    </w:p>
    <w:p w:rsidR="003C682C" w:rsidRPr="00E67A0E" w:rsidRDefault="003C682C" w:rsidP="009245CF">
      <w:pPr>
        <w:jc w:val="right"/>
      </w:pPr>
    </w:p>
    <w:p w:rsidR="003C682C" w:rsidRPr="00E67A0E" w:rsidRDefault="003C682C" w:rsidP="003C682C"/>
    <w:p w:rsidR="003C682C" w:rsidRPr="00E67A0E" w:rsidRDefault="003C682C" w:rsidP="003C682C"/>
    <w:p w:rsidR="003C682C" w:rsidRPr="00E67A0E" w:rsidRDefault="003C682C" w:rsidP="003C682C"/>
    <w:p w:rsidR="003C682C" w:rsidRPr="00E67A0E" w:rsidRDefault="003C682C" w:rsidP="003C682C"/>
    <w:p w:rsidR="003C682C" w:rsidRPr="00E67A0E" w:rsidRDefault="003C682C" w:rsidP="003C682C"/>
    <w:p w:rsidR="003C682C" w:rsidRPr="00E67A0E" w:rsidRDefault="003C682C" w:rsidP="003C682C"/>
    <w:p w:rsidR="003C682C" w:rsidRPr="00E67A0E" w:rsidRDefault="003C682C" w:rsidP="003C682C"/>
    <w:p w:rsidR="003C682C" w:rsidRPr="00E67A0E" w:rsidRDefault="003C682C" w:rsidP="003C682C"/>
    <w:p w:rsidR="003C682C" w:rsidRPr="00E67A0E" w:rsidRDefault="003C682C" w:rsidP="003C682C"/>
    <w:p w:rsidR="003C682C" w:rsidRPr="00E67A0E" w:rsidRDefault="003C682C" w:rsidP="003C682C"/>
    <w:p w:rsidR="003C682C" w:rsidRPr="00E67A0E" w:rsidRDefault="003C682C" w:rsidP="003C682C"/>
    <w:p w:rsidR="003C682C" w:rsidRPr="00E67A0E" w:rsidRDefault="003C682C" w:rsidP="003C682C"/>
    <w:p w:rsidR="003C682C" w:rsidRPr="00E67A0E" w:rsidRDefault="003C682C" w:rsidP="003C682C"/>
    <w:p w:rsidR="003C682C" w:rsidRPr="00E67A0E" w:rsidRDefault="003C682C" w:rsidP="003C682C"/>
    <w:p w:rsidR="003C682C" w:rsidRPr="00E67A0E" w:rsidRDefault="003C682C" w:rsidP="003C682C"/>
    <w:p w:rsidR="003C682C" w:rsidRPr="00E67A0E" w:rsidRDefault="003C682C" w:rsidP="003C682C"/>
    <w:p w:rsidR="00765075" w:rsidRPr="00E67A0E" w:rsidRDefault="004A517D" w:rsidP="007176A5">
      <w:pPr>
        <w:pStyle w:val="Title"/>
      </w:pPr>
      <w:r w:rsidRPr="00E67A0E">
        <w:t>Nacionālās industriāl</w:t>
      </w:r>
      <w:r w:rsidR="007C0A60" w:rsidRPr="00E67A0E">
        <w:t xml:space="preserve">ās politikas </w:t>
      </w:r>
      <w:r w:rsidR="003C682C" w:rsidRPr="00E67A0E">
        <w:t>pamatnostādnes 201</w:t>
      </w:r>
      <w:r w:rsidR="00531838">
        <w:t>4</w:t>
      </w:r>
      <w:r w:rsidR="00EE67B7" w:rsidRPr="00E67A0E">
        <w:t>.</w:t>
      </w:r>
      <w:r w:rsidR="003C682C" w:rsidRPr="00E67A0E">
        <w:t>-2020.gadam</w:t>
      </w:r>
    </w:p>
    <w:p w:rsidR="009245CF" w:rsidRPr="00E67A0E" w:rsidRDefault="009245CF" w:rsidP="009245CF">
      <w:pPr>
        <w:pStyle w:val="BodyText"/>
        <w:spacing w:after="0"/>
        <w:ind w:right="-143"/>
        <w:jc w:val="center"/>
        <w:rPr>
          <w:b/>
          <w:smallCaps/>
          <w:sz w:val="28"/>
          <w:szCs w:val="28"/>
        </w:rPr>
      </w:pPr>
      <w:r w:rsidRPr="00E67A0E">
        <w:rPr>
          <w:b/>
          <w:smallCaps/>
          <w:sz w:val="28"/>
          <w:szCs w:val="28"/>
        </w:rPr>
        <w:t>(informatīvā daļa)</w:t>
      </w:r>
    </w:p>
    <w:p w:rsidR="003C682C" w:rsidRPr="00E67A0E" w:rsidRDefault="003C682C" w:rsidP="009245CF">
      <w:pPr>
        <w:spacing w:after="200" w:line="276" w:lineRule="auto"/>
        <w:ind w:firstLine="0"/>
        <w:jc w:val="center"/>
      </w:pPr>
      <w:r w:rsidRPr="00E67A0E">
        <w:br w:type="page"/>
      </w:r>
    </w:p>
    <w:p w:rsidR="00BD4ED1" w:rsidRDefault="00A53C7A">
      <w:pPr>
        <w:pStyle w:val="TOC1"/>
        <w:rPr>
          <w:rFonts w:eastAsiaTheme="minorEastAsia" w:cstheme="minorBidi"/>
          <w:b w:val="0"/>
          <w:bCs w:val="0"/>
          <w:caps w:val="0"/>
          <w:noProof/>
          <w:sz w:val="22"/>
          <w:szCs w:val="22"/>
          <w:lang w:eastAsia="lv-LV"/>
        </w:rPr>
      </w:pPr>
      <w:r w:rsidRPr="00E67A0E">
        <w:rPr>
          <w:rFonts w:cs="Times New Roman"/>
          <w:sz w:val="24"/>
          <w:szCs w:val="24"/>
        </w:rPr>
        <w:lastRenderedPageBreak/>
        <w:fldChar w:fldCharType="begin"/>
      </w:r>
      <w:r w:rsidRPr="00E67A0E">
        <w:rPr>
          <w:rFonts w:cs="Times New Roman"/>
          <w:sz w:val="24"/>
          <w:szCs w:val="24"/>
        </w:rPr>
        <w:instrText xml:space="preserve"> TOC \o "1-4" \h \z \u </w:instrText>
      </w:r>
      <w:r w:rsidRPr="00E67A0E">
        <w:rPr>
          <w:rFonts w:cs="Times New Roman"/>
          <w:sz w:val="24"/>
          <w:szCs w:val="24"/>
        </w:rPr>
        <w:fldChar w:fldCharType="separate"/>
      </w:r>
      <w:hyperlink w:anchor="_Toc354732556" w:history="1">
        <w:r w:rsidR="00BD4ED1" w:rsidRPr="000F1B69">
          <w:rPr>
            <w:rStyle w:val="Hyperlink"/>
            <w:noProof/>
          </w:rPr>
          <w:t>Lietoto saīsinājumu skaidrojums</w:t>
        </w:r>
        <w:r w:rsidR="00BD4ED1">
          <w:rPr>
            <w:noProof/>
            <w:webHidden/>
          </w:rPr>
          <w:tab/>
        </w:r>
        <w:r w:rsidR="00BD4ED1">
          <w:rPr>
            <w:noProof/>
            <w:webHidden/>
          </w:rPr>
          <w:fldChar w:fldCharType="begin"/>
        </w:r>
        <w:r w:rsidR="00BD4ED1">
          <w:rPr>
            <w:noProof/>
            <w:webHidden/>
          </w:rPr>
          <w:instrText xml:space="preserve"> PAGEREF _Toc354732556 \h </w:instrText>
        </w:r>
        <w:r w:rsidR="00BD4ED1">
          <w:rPr>
            <w:noProof/>
            <w:webHidden/>
          </w:rPr>
        </w:r>
        <w:r w:rsidR="00BD4ED1">
          <w:rPr>
            <w:noProof/>
            <w:webHidden/>
          </w:rPr>
          <w:fldChar w:fldCharType="separate"/>
        </w:r>
        <w:r w:rsidR="00BD4ED1">
          <w:rPr>
            <w:noProof/>
            <w:webHidden/>
          </w:rPr>
          <w:t>3</w:t>
        </w:r>
        <w:r w:rsidR="00BD4ED1">
          <w:rPr>
            <w:noProof/>
            <w:webHidden/>
          </w:rPr>
          <w:fldChar w:fldCharType="end"/>
        </w:r>
      </w:hyperlink>
    </w:p>
    <w:p w:rsidR="00BD4ED1" w:rsidRDefault="007337FE">
      <w:pPr>
        <w:pStyle w:val="TOC1"/>
        <w:rPr>
          <w:rFonts w:eastAsiaTheme="minorEastAsia" w:cstheme="minorBidi"/>
          <w:b w:val="0"/>
          <w:bCs w:val="0"/>
          <w:caps w:val="0"/>
          <w:noProof/>
          <w:sz w:val="22"/>
          <w:szCs w:val="22"/>
          <w:lang w:eastAsia="lv-LV"/>
        </w:rPr>
      </w:pPr>
      <w:hyperlink w:anchor="_Toc354732557" w:history="1">
        <w:r w:rsidR="00BD4ED1" w:rsidRPr="000F1B69">
          <w:rPr>
            <w:rStyle w:val="Hyperlink"/>
            <w:noProof/>
          </w:rPr>
          <w:t>Lietoto jēdzienu skaidrojums</w:t>
        </w:r>
        <w:r w:rsidR="00BD4ED1">
          <w:rPr>
            <w:noProof/>
            <w:webHidden/>
          </w:rPr>
          <w:tab/>
        </w:r>
        <w:r w:rsidR="00BD4ED1">
          <w:rPr>
            <w:noProof/>
            <w:webHidden/>
          </w:rPr>
          <w:fldChar w:fldCharType="begin"/>
        </w:r>
        <w:r w:rsidR="00BD4ED1">
          <w:rPr>
            <w:noProof/>
            <w:webHidden/>
          </w:rPr>
          <w:instrText xml:space="preserve"> PAGEREF _Toc354732557 \h </w:instrText>
        </w:r>
        <w:r w:rsidR="00BD4ED1">
          <w:rPr>
            <w:noProof/>
            <w:webHidden/>
          </w:rPr>
        </w:r>
        <w:r w:rsidR="00BD4ED1">
          <w:rPr>
            <w:noProof/>
            <w:webHidden/>
          </w:rPr>
          <w:fldChar w:fldCharType="separate"/>
        </w:r>
        <w:r w:rsidR="00BD4ED1">
          <w:rPr>
            <w:noProof/>
            <w:webHidden/>
          </w:rPr>
          <w:t>3</w:t>
        </w:r>
        <w:r w:rsidR="00BD4ED1">
          <w:rPr>
            <w:noProof/>
            <w:webHidden/>
          </w:rPr>
          <w:fldChar w:fldCharType="end"/>
        </w:r>
      </w:hyperlink>
    </w:p>
    <w:p w:rsidR="00BD4ED1" w:rsidRDefault="007337FE">
      <w:pPr>
        <w:pStyle w:val="TOC1"/>
        <w:rPr>
          <w:rFonts w:eastAsiaTheme="minorEastAsia" w:cstheme="minorBidi"/>
          <w:b w:val="0"/>
          <w:bCs w:val="0"/>
          <w:caps w:val="0"/>
          <w:noProof/>
          <w:sz w:val="22"/>
          <w:szCs w:val="22"/>
          <w:lang w:eastAsia="lv-LV"/>
        </w:rPr>
      </w:pPr>
      <w:hyperlink w:anchor="_Toc354732558" w:history="1">
        <w:r w:rsidR="00BD4ED1" w:rsidRPr="000F1B69">
          <w:rPr>
            <w:rStyle w:val="Hyperlink"/>
            <w:noProof/>
          </w:rPr>
          <w:t>Ievads</w:t>
        </w:r>
        <w:r w:rsidR="00BD4ED1">
          <w:rPr>
            <w:noProof/>
            <w:webHidden/>
          </w:rPr>
          <w:tab/>
        </w:r>
        <w:r w:rsidR="00BD4ED1">
          <w:rPr>
            <w:noProof/>
            <w:webHidden/>
          </w:rPr>
          <w:fldChar w:fldCharType="begin"/>
        </w:r>
        <w:r w:rsidR="00BD4ED1">
          <w:rPr>
            <w:noProof/>
            <w:webHidden/>
          </w:rPr>
          <w:instrText xml:space="preserve"> PAGEREF _Toc354732558 \h </w:instrText>
        </w:r>
        <w:r w:rsidR="00BD4ED1">
          <w:rPr>
            <w:noProof/>
            <w:webHidden/>
          </w:rPr>
        </w:r>
        <w:r w:rsidR="00BD4ED1">
          <w:rPr>
            <w:noProof/>
            <w:webHidden/>
          </w:rPr>
          <w:fldChar w:fldCharType="separate"/>
        </w:r>
        <w:r w:rsidR="00BD4ED1">
          <w:rPr>
            <w:noProof/>
            <w:webHidden/>
          </w:rPr>
          <w:t>5</w:t>
        </w:r>
        <w:r w:rsidR="00BD4ED1">
          <w:rPr>
            <w:noProof/>
            <w:webHidden/>
          </w:rPr>
          <w:fldChar w:fldCharType="end"/>
        </w:r>
      </w:hyperlink>
    </w:p>
    <w:p w:rsidR="00BD4ED1" w:rsidRDefault="007337FE">
      <w:pPr>
        <w:pStyle w:val="TOC1"/>
        <w:rPr>
          <w:rFonts w:eastAsiaTheme="minorEastAsia" w:cstheme="minorBidi"/>
          <w:b w:val="0"/>
          <w:bCs w:val="0"/>
          <w:caps w:val="0"/>
          <w:noProof/>
          <w:sz w:val="22"/>
          <w:szCs w:val="22"/>
          <w:lang w:eastAsia="lv-LV"/>
        </w:rPr>
      </w:pPr>
      <w:hyperlink w:anchor="_Toc354732559" w:history="1">
        <w:r w:rsidR="00BD4ED1" w:rsidRPr="000F1B69">
          <w:rPr>
            <w:rStyle w:val="Hyperlink"/>
            <w:noProof/>
          </w:rPr>
          <w:t>1.</w:t>
        </w:r>
        <w:r w:rsidR="00BD4ED1">
          <w:rPr>
            <w:rFonts w:eastAsiaTheme="minorEastAsia" w:cstheme="minorBidi"/>
            <w:b w:val="0"/>
            <w:bCs w:val="0"/>
            <w:caps w:val="0"/>
            <w:noProof/>
            <w:sz w:val="22"/>
            <w:szCs w:val="22"/>
            <w:lang w:eastAsia="lv-LV"/>
          </w:rPr>
          <w:tab/>
        </w:r>
        <w:r w:rsidR="00BD4ED1" w:rsidRPr="000F1B69">
          <w:rPr>
            <w:rStyle w:val="Hyperlink"/>
            <w:noProof/>
          </w:rPr>
          <w:t>Attīstības tendences un globālie izaicinājumi</w:t>
        </w:r>
        <w:r w:rsidR="00BD4ED1">
          <w:rPr>
            <w:noProof/>
            <w:webHidden/>
          </w:rPr>
          <w:tab/>
        </w:r>
        <w:r w:rsidR="00BD4ED1">
          <w:rPr>
            <w:noProof/>
            <w:webHidden/>
          </w:rPr>
          <w:fldChar w:fldCharType="begin"/>
        </w:r>
        <w:r w:rsidR="00BD4ED1">
          <w:rPr>
            <w:noProof/>
            <w:webHidden/>
          </w:rPr>
          <w:instrText xml:space="preserve"> PAGEREF _Toc354732559 \h </w:instrText>
        </w:r>
        <w:r w:rsidR="00BD4ED1">
          <w:rPr>
            <w:noProof/>
            <w:webHidden/>
          </w:rPr>
        </w:r>
        <w:r w:rsidR="00BD4ED1">
          <w:rPr>
            <w:noProof/>
            <w:webHidden/>
          </w:rPr>
          <w:fldChar w:fldCharType="separate"/>
        </w:r>
        <w:r w:rsidR="00BD4ED1">
          <w:rPr>
            <w:noProof/>
            <w:webHidden/>
          </w:rPr>
          <w:t>7</w:t>
        </w:r>
        <w:r w:rsidR="00BD4ED1">
          <w:rPr>
            <w:noProof/>
            <w:webHidden/>
          </w:rPr>
          <w:fldChar w:fldCharType="end"/>
        </w:r>
      </w:hyperlink>
    </w:p>
    <w:p w:rsidR="00BD4ED1" w:rsidRDefault="007337FE">
      <w:pPr>
        <w:pStyle w:val="TOC1"/>
        <w:rPr>
          <w:rFonts w:eastAsiaTheme="minorEastAsia" w:cstheme="minorBidi"/>
          <w:b w:val="0"/>
          <w:bCs w:val="0"/>
          <w:caps w:val="0"/>
          <w:noProof/>
          <w:sz w:val="22"/>
          <w:szCs w:val="22"/>
          <w:lang w:eastAsia="lv-LV"/>
        </w:rPr>
      </w:pPr>
      <w:hyperlink w:anchor="_Toc354732560" w:history="1">
        <w:r w:rsidR="00BD4ED1" w:rsidRPr="000F1B69">
          <w:rPr>
            <w:rStyle w:val="Hyperlink"/>
            <w:noProof/>
          </w:rPr>
          <w:t>2.</w:t>
        </w:r>
        <w:r w:rsidR="00BD4ED1">
          <w:rPr>
            <w:rFonts w:eastAsiaTheme="minorEastAsia" w:cstheme="minorBidi"/>
            <w:b w:val="0"/>
            <w:bCs w:val="0"/>
            <w:caps w:val="0"/>
            <w:noProof/>
            <w:sz w:val="22"/>
            <w:szCs w:val="22"/>
            <w:lang w:eastAsia="lv-LV"/>
          </w:rPr>
          <w:tab/>
        </w:r>
        <w:r w:rsidR="00BD4ED1" w:rsidRPr="000F1B69">
          <w:rPr>
            <w:rStyle w:val="Hyperlink"/>
            <w:noProof/>
          </w:rPr>
          <w:t>Funkcionālās vides raksturojums</w:t>
        </w:r>
        <w:r w:rsidR="00BD4ED1">
          <w:rPr>
            <w:noProof/>
            <w:webHidden/>
          </w:rPr>
          <w:tab/>
        </w:r>
        <w:r w:rsidR="00BD4ED1">
          <w:rPr>
            <w:noProof/>
            <w:webHidden/>
          </w:rPr>
          <w:fldChar w:fldCharType="begin"/>
        </w:r>
        <w:r w:rsidR="00BD4ED1">
          <w:rPr>
            <w:noProof/>
            <w:webHidden/>
          </w:rPr>
          <w:instrText xml:space="preserve"> PAGEREF _Toc354732560 \h </w:instrText>
        </w:r>
        <w:r w:rsidR="00BD4ED1">
          <w:rPr>
            <w:noProof/>
            <w:webHidden/>
          </w:rPr>
        </w:r>
        <w:r w:rsidR="00BD4ED1">
          <w:rPr>
            <w:noProof/>
            <w:webHidden/>
          </w:rPr>
          <w:fldChar w:fldCharType="separate"/>
        </w:r>
        <w:r w:rsidR="00BD4ED1">
          <w:rPr>
            <w:noProof/>
            <w:webHidden/>
          </w:rPr>
          <w:t>12</w:t>
        </w:r>
        <w:r w:rsidR="00BD4ED1">
          <w:rPr>
            <w:noProof/>
            <w:webHidden/>
          </w:rPr>
          <w:fldChar w:fldCharType="end"/>
        </w:r>
      </w:hyperlink>
    </w:p>
    <w:p w:rsidR="00BD4ED1" w:rsidRDefault="007337FE">
      <w:pPr>
        <w:pStyle w:val="TOC2"/>
        <w:tabs>
          <w:tab w:val="right" w:leader="dot" w:pos="9174"/>
        </w:tabs>
        <w:rPr>
          <w:rFonts w:eastAsiaTheme="minorEastAsia" w:cstheme="minorBidi"/>
          <w:smallCaps w:val="0"/>
          <w:noProof/>
          <w:sz w:val="22"/>
          <w:szCs w:val="22"/>
          <w:lang w:eastAsia="lv-LV"/>
        </w:rPr>
      </w:pPr>
      <w:hyperlink w:anchor="_Toc354732561" w:history="1">
        <w:r w:rsidR="00BD4ED1" w:rsidRPr="000F1B69">
          <w:rPr>
            <w:rStyle w:val="Hyperlink"/>
            <w:noProof/>
          </w:rPr>
          <w:t>2.1. Darba tirgus</w:t>
        </w:r>
        <w:r w:rsidR="00BD4ED1">
          <w:rPr>
            <w:noProof/>
            <w:webHidden/>
          </w:rPr>
          <w:tab/>
        </w:r>
        <w:r w:rsidR="00BD4ED1">
          <w:rPr>
            <w:noProof/>
            <w:webHidden/>
          </w:rPr>
          <w:fldChar w:fldCharType="begin"/>
        </w:r>
        <w:r w:rsidR="00BD4ED1">
          <w:rPr>
            <w:noProof/>
            <w:webHidden/>
          </w:rPr>
          <w:instrText xml:space="preserve"> PAGEREF _Toc354732561 \h </w:instrText>
        </w:r>
        <w:r w:rsidR="00BD4ED1">
          <w:rPr>
            <w:noProof/>
            <w:webHidden/>
          </w:rPr>
        </w:r>
        <w:r w:rsidR="00BD4ED1">
          <w:rPr>
            <w:noProof/>
            <w:webHidden/>
          </w:rPr>
          <w:fldChar w:fldCharType="separate"/>
        </w:r>
        <w:r w:rsidR="00BD4ED1">
          <w:rPr>
            <w:noProof/>
            <w:webHidden/>
          </w:rPr>
          <w:t>12</w:t>
        </w:r>
        <w:r w:rsidR="00BD4ED1">
          <w:rPr>
            <w:noProof/>
            <w:webHidden/>
          </w:rPr>
          <w:fldChar w:fldCharType="end"/>
        </w:r>
      </w:hyperlink>
    </w:p>
    <w:p w:rsidR="00BD4ED1" w:rsidRDefault="007337FE">
      <w:pPr>
        <w:pStyle w:val="TOC2"/>
        <w:tabs>
          <w:tab w:val="right" w:leader="dot" w:pos="9174"/>
        </w:tabs>
        <w:rPr>
          <w:rFonts w:eastAsiaTheme="minorEastAsia" w:cstheme="minorBidi"/>
          <w:smallCaps w:val="0"/>
          <w:noProof/>
          <w:sz w:val="22"/>
          <w:szCs w:val="22"/>
          <w:lang w:eastAsia="lv-LV"/>
        </w:rPr>
      </w:pPr>
      <w:hyperlink w:anchor="_Toc354732562" w:history="1">
        <w:r w:rsidR="00BD4ED1" w:rsidRPr="000F1B69">
          <w:rPr>
            <w:rStyle w:val="Hyperlink"/>
            <w:noProof/>
          </w:rPr>
          <w:t>2.2. Produktu tirgi</w:t>
        </w:r>
        <w:r w:rsidR="00BD4ED1">
          <w:rPr>
            <w:noProof/>
            <w:webHidden/>
          </w:rPr>
          <w:tab/>
        </w:r>
        <w:r w:rsidR="00BD4ED1">
          <w:rPr>
            <w:noProof/>
            <w:webHidden/>
          </w:rPr>
          <w:fldChar w:fldCharType="begin"/>
        </w:r>
        <w:r w:rsidR="00BD4ED1">
          <w:rPr>
            <w:noProof/>
            <w:webHidden/>
          </w:rPr>
          <w:instrText xml:space="preserve"> PAGEREF _Toc354732562 \h </w:instrText>
        </w:r>
        <w:r w:rsidR="00BD4ED1">
          <w:rPr>
            <w:noProof/>
            <w:webHidden/>
          </w:rPr>
        </w:r>
        <w:r w:rsidR="00BD4ED1">
          <w:rPr>
            <w:noProof/>
            <w:webHidden/>
          </w:rPr>
          <w:fldChar w:fldCharType="separate"/>
        </w:r>
        <w:r w:rsidR="00BD4ED1">
          <w:rPr>
            <w:noProof/>
            <w:webHidden/>
          </w:rPr>
          <w:t>16</w:t>
        </w:r>
        <w:r w:rsidR="00BD4ED1">
          <w:rPr>
            <w:noProof/>
            <w:webHidden/>
          </w:rPr>
          <w:fldChar w:fldCharType="end"/>
        </w:r>
      </w:hyperlink>
    </w:p>
    <w:p w:rsidR="00BD4ED1" w:rsidRDefault="007337FE">
      <w:pPr>
        <w:pStyle w:val="TOC2"/>
        <w:tabs>
          <w:tab w:val="right" w:leader="dot" w:pos="9174"/>
        </w:tabs>
        <w:rPr>
          <w:rFonts w:eastAsiaTheme="minorEastAsia" w:cstheme="minorBidi"/>
          <w:smallCaps w:val="0"/>
          <w:noProof/>
          <w:sz w:val="22"/>
          <w:szCs w:val="22"/>
          <w:lang w:eastAsia="lv-LV"/>
        </w:rPr>
      </w:pPr>
      <w:hyperlink w:anchor="_Toc354732563" w:history="1">
        <w:r w:rsidR="00BD4ED1" w:rsidRPr="000F1B69">
          <w:rPr>
            <w:rStyle w:val="Hyperlink"/>
            <w:noProof/>
          </w:rPr>
          <w:t>2.3.Finanšu tirgus</w:t>
        </w:r>
        <w:r w:rsidR="00BD4ED1">
          <w:rPr>
            <w:noProof/>
            <w:webHidden/>
          </w:rPr>
          <w:tab/>
        </w:r>
        <w:r w:rsidR="00BD4ED1">
          <w:rPr>
            <w:noProof/>
            <w:webHidden/>
          </w:rPr>
          <w:fldChar w:fldCharType="begin"/>
        </w:r>
        <w:r w:rsidR="00BD4ED1">
          <w:rPr>
            <w:noProof/>
            <w:webHidden/>
          </w:rPr>
          <w:instrText xml:space="preserve"> PAGEREF _Toc354732563 \h </w:instrText>
        </w:r>
        <w:r w:rsidR="00BD4ED1">
          <w:rPr>
            <w:noProof/>
            <w:webHidden/>
          </w:rPr>
        </w:r>
        <w:r w:rsidR="00BD4ED1">
          <w:rPr>
            <w:noProof/>
            <w:webHidden/>
          </w:rPr>
          <w:fldChar w:fldCharType="separate"/>
        </w:r>
        <w:r w:rsidR="00BD4ED1">
          <w:rPr>
            <w:noProof/>
            <w:webHidden/>
          </w:rPr>
          <w:t>18</w:t>
        </w:r>
        <w:r w:rsidR="00BD4ED1">
          <w:rPr>
            <w:noProof/>
            <w:webHidden/>
          </w:rPr>
          <w:fldChar w:fldCharType="end"/>
        </w:r>
      </w:hyperlink>
    </w:p>
    <w:p w:rsidR="00BD4ED1" w:rsidRDefault="007337FE">
      <w:pPr>
        <w:pStyle w:val="TOC1"/>
        <w:rPr>
          <w:rFonts w:eastAsiaTheme="minorEastAsia" w:cstheme="minorBidi"/>
          <w:b w:val="0"/>
          <w:bCs w:val="0"/>
          <w:caps w:val="0"/>
          <w:noProof/>
          <w:sz w:val="22"/>
          <w:szCs w:val="22"/>
          <w:lang w:eastAsia="lv-LV"/>
        </w:rPr>
      </w:pPr>
      <w:hyperlink w:anchor="_Toc354732564" w:history="1">
        <w:r w:rsidR="00BD4ED1" w:rsidRPr="000F1B69">
          <w:rPr>
            <w:rStyle w:val="Hyperlink"/>
            <w:noProof/>
          </w:rPr>
          <w:t>3.</w:t>
        </w:r>
        <w:r w:rsidR="00BD4ED1">
          <w:rPr>
            <w:rFonts w:eastAsiaTheme="minorEastAsia" w:cstheme="minorBidi"/>
            <w:b w:val="0"/>
            <w:bCs w:val="0"/>
            <w:caps w:val="0"/>
            <w:noProof/>
            <w:sz w:val="22"/>
            <w:szCs w:val="22"/>
            <w:lang w:eastAsia="lv-LV"/>
          </w:rPr>
          <w:tab/>
        </w:r>
        <w:r w:rsidR="00BD4ED1" w:rsidRPr="000F1B69">
          <w:rPr>
            <w:rStyle w:val="Hyperlink"/>
            <w:rFonts w:cs="Times New Roman"/>
            <w:noProof/>
          </w:rPr>
          <w:t>Galvenie šķēršļi produktu ražošanas uzsākšanai un paplašināšanai</w:t>
        </w:r>
        <w:r w:rsidR="00BD4ED1">
          <w:rPr>
            <w:noProof/>
            <w:webHidden/>
          </w:rPr>
          <w:tab/>
        </w:r>
        <w:r w:rsidR="00BD4ED1">
          <w:rPr>
            <w:noProof/>
            <w:webHidden/>
          </w:rPr>
          <w:fldChar w:fldCharType="begin"/>
        </w:r>
        <w:r w:rsidR="00BD4ED1">
          <w:rPr>
            <w:noProof/>
            <w:webHidden/>
          </w:rPr>
          <w:instrText xml:space="preserve"> PAGEREF _Toc354732564 \h </w:instrText>
        </w:r>
        <w:r w:rsidR="00BD4ED1">
          <w:rPr>
            <w:noProof/>
            <w:webHidden/>
          </w:rPr>
        </w:r>
        <w:r w:rsidR="00BD4ED1">
          <w:rPr>
            <w:noProof/>
            <w:webHidden/>
          </w:rPr>
          <w:fldChar w:fldCharType="separate"/>
        </w:r>
        <w:r w:rsidR="00BD4ED1">
          <w:rPr>
            <w:noProof/>
            <w:webHidden/>
          </w:rPr>
          <w:t>18</w:t>
        </w:r>
        <w:r w:rsidR="00BD4ED1">
          <w:rPr>
            <w:noProof/>
            <w:webHidden/>
          </w:rPr>
          <w:fldChar w:fldCharType="end"/>
        </w:r>
      </w:hyperlink>
    </w:p>
    <w:p w:rsidR="00BD4ED1" w:rsidRDefault="007337FE">
      <w:pPr>
        <w:pStyle w:val="TOC2"/>
        <w:tabs>
          <w:tab w:val="right" w:leader="dot" w:pos="9174"/>
        </w:tabs>
        <w:rPr>
          <w:rFonts w:eastAsiaTheme="minorEastAsia" w:cstheme="minorBidi"/>
          <w:smallCaps w:val="0"/>
          <w:noProof/>
          <w:sz w:val="22"/>
          <w:szCs w:val="22"/>
          <w:lang w:eastAsia="lv-LV"/>
        </w:rPr>
      </w:pPr>
      <w:hyperlink w:anchor="_Toc354732565" w:history="1">
        <w:r w:rsidR="00BD4ED1" w:rsidRPr="000F1B69">
          <w:rPr>
            <w:rStyle w:val="Hyperlink"/>
            <w:noProof/>
          </w:rPr>
          <w:t>3.1. Tirgus un valsts nepilnību identificēšanas analīzes ietvars</w:t>
        </w:r>
        <w:r w:rsidR="00BD4ED1">
          <w:rPr>
            <w:noProof/>
            <w:webHidden/>
          </w:rPr>
          <w:tab/>
        </w:r>
        <w:r w:rsidR="00BD4ED1">
          <w:rPr>
            <w:noProof/>
            <w:webHidden/>
          </w:rPr>
          <w:fldChar w:fldCharType="begin"/>
        </w:r>
        <w:r w:rsidR="00BD4ED1">
          <w:rPr>
            <w:noProof/>
            <w:webHidden/>
          </w:rPr>
          <w:instrText xml:space="preserve"> PAGEREF _Toc354732565 \h </w:instrText>
        </w:r>
        <w:r w:rsidR="00BD4ED1">
          <w:rPr>
            <w:noProof/>
            <w:webHidden/>
          </w:rPr>
        </w:r>
        <w:r w:rsidR="00BD4ED1">
          <w:rPr>
            <w:noProof/>
            <w:webHidden/>
          </w:rPr>
          <w:fldChar w:fldCharType="separate"/>
        </w:r>
        <w:r w:rsidR="00BD4ED1">
          <w:rPr>
            <w:noProof/>
            <w:webHidden/>
          </w:rPr>
          <w:t>19</w:t>
        </w:r>
        <w:r w:rsidR="00BD4ED1">
          <w:rPr>
            <w:noProof/>
            <w:webHidden/>
          </w:rPr>
          <w:fldChar w:fldCharType="end"/>
        </w:r>
      </w:hyperlink>
    </w:p>
    <w:p w:rsidR="00BD4ED1" w:rsidRDefault="007337FE">
      <w:pPr>
        <w:pStyle w:val="TOC2"/>
        <w:tabs>
          <w:tab w:val="right" w:leader="dot" w:pos="9174"/>
        </w:tabs>
        <w:rPr>
          <w:rFonts w:eastAsiaTheme="minorEastAsia" w:cstheme="minorBidi"/>
          <w:smallCaps w:val="0"/>
          <w:noProof/>
          <w:sz w:val="22"/>
          <w:szCs w:val="22"/>
          <w:lang w:eastAsia="lv-LV"/>
        </w:rPr>
      </w:pPr>
      <w:hyperlink w:anchor="_Toc354732566" w:history="1">
        <w:r w:rsidR="00BD4ED1" w:rsidRPr="000F1B69">
          <w:rPr>
            <w:rStyle w:val="Hyperlink"/>
            <w:noProof/>
          </w:rPr>
          <w:t>3.2. Analīzes secinājumi</w:t>
        </w:r>
        <w:r w:rsidR="00BD4ED1">
          <w:rPr>
            <w:noProof/>
            <w:webHidden/>
          </w:rPr>
          <w:tab/>
        </w:r>
        <w:r w:rsidR="00BD4ED1">
          <w:rPr>
            <w:noProof/>
            <w:webHidden/>
          </w:rPr>
          <w:fldChar w:fldCharType="begin"/>
        </w:r>
        <w:r w:rsidR="00BD4ED1">
          <w:rPr>
            <w:noProof/>
            <w:webHidden/>
          </w:rPr>
          <w:instrText xml:space="preserve"> PAGEREF _Toc354732566 \h </w:instrText>
        </w:r>
        <w:r w:rsidR="00BD4ED1">
          <w:rPr>
            <w:noProof/>
            <w:webHidden/>
          </w:rPr>
        </w:r>
        <w:r w:rsidR="00BD4ED1">
          <w:rPr>
            <w:noProof/>
            <w:webHidden/>
          </w:rPr>
          <w:fldChar w:fldCharType="separate"/>
        </w:r>
        <w:r w:rsidR="00BD4ED1">
          <w:rPr>
            <w:noProof/>
            <w:webHidden/>
          </w:rPr>
          <w:t>20</w:t>
        </w:r>
        <w:r w:rsidR="00BD4ED1">
          <w:rPr>
            <w:noProof/>
            <w:webHidden/>
          </w:rPr>
          <w:fldChar w:fldCharType="end"/>
        </w:r>
      </w:hyperlink>
    </w:p>
    <w:p w:rsidR="00BD4ED1" w:rsidRDefault="007337FE">
      <w:pPr>
        <w:pStyle w:val="TOC3"/>
        <w:tabs>
          <w:tab w:val="right" w:leader="dot" w:pos="9174"/>
        </w:tabs>
        <w:rPr>
          <w:rFonts w:eastAsiaTheme="minorEastAsia" w:cstheme="minorBidi"/>
          <w:i w:val="0"/>
          <w:iCs w:val="0"/>
          <w:noProof/>
          <w:sz w:val="22"/>
          <w:szCs w:val="22"/>
          <w:lang w:eastAsia="lv-LV"/>
        </w:rPr>
      </w:pPr>
      <w:hyperlink w:anchor="_Toc354732567" w:history="1">
        <w:r w:rsidR="00BD4ED1" w:rsidRPr="000F1B69">
          <w:rPr>
            <w:rStyle w:val="Hyperlink"/>
            <w:noProof/>
          </w:rPr>
          <w:t>3.2.1. Latvijas uzņēmumu salīdzinošās priekšrocības</w:t>
        </w:r>
        <w:r w:rsidR="00BD4ED1">
          <w:rPr>
            <w:noProof/>
            <w:webHidden/>
          </w:rPr>
          <w:tab/>
        </w:r>
        <w:r w:rsidR="00BD4ED1">
          <w:rPr>
            <w:noProof/>
            <w:webHidden/>
          </w:rPr>
          <w:fldChar w:fldCharType="begin"/>
        </w:r>
        <w:r w:rsidR="00BD4ED1">
          <w:rPr>
            <w:noProof/>
            <w:webHidden/>
          </w:rPr>
          <w:instrText xml:space="preserve"> PAGEREF _Toc354732567 \h </w:instrText>
        </w:r>
        <w:r w:rsidR="00BD4ED1">
          <w:rPr>
            <w:noProof/>
            <w:webHidden/>
          </w:rPr>
        </w:r>
        <w:r w:rsidR="00BD4ED1">
          <w:rPr>
            <w:noProof/>
            <w:webHidden/>
          </w:rPr>
          <w:fldChar w:fldCharType="separate"/>
        </w:r>
        <w:r w:rsidR="00BD4ED1">
          <w:rPr>
            <w:noProof/>
            <w:webHidden/>
          </w:rPr>
          <w:t>20</w:t>
        </w:r>
        <w:r w:rsidR="00BD4ED1">
          <w:rPr>
            <w:noProof/>
            <w:webHidden/>
          </w:rPr>
          <w:fldChar w:fldCharType="end"/>
        </w:r>
      </w:hyperlink>
    </w:p>
    <w:p w:rsidR="00BD4ED1" w:rsidRDefault="007337FE">
      <w:pPr>
        <w:pStyle w:val="TOC3"/>
        <w:tabs>
          <w:tab w:val="right" w:leader="dot" w:pos="9174"/>
        </w:tabs>
        <w:rPr>
          <w:rFonts w:eastAsiaTheme="minorEastAsia" w:cstheme="minorBidi"/>
          <w:i w:val="0"/>
          <w:iCs w:val="0"/>
          <w:noProof/>
          <w:sz w:val="22"/>
          <w:szCs w:val="22"/>
          <w:lang w:eastAsia="lv-LV"/>
        </w:rPr>
      </w:pPr>
      <w:hyperlink w:anchor="_Toc354732568" w:history="1">
        <w:r w:rsidR="00BD4ED1" w:rsidRPr="000F1B69">
          <w:rPr>
            <w:rStyle w:val="Hyperlink"/>
            <w:noProof/>
          </w:rPr>
          <w:t>3.2.2. Identificētās tirgus kļūdas</w:t>
        </w:r>
        <w:r w:rsidR="00BD4ED1">
          <w:rPr>
            <w:noProof/>
            <w:webHidden/>
          </w:rPr>
          <w:tab/>
        </w:r>
        <w:r w:rsidR="00BD4ED1">
          <w:rPr>
            <w:noProof/>
            <w:webHidden/>
          </w:rPr>
          <w:fldChar w:fldCharType="begin"/>
        </w:r>
        <w:r w:rsidR="00BD4ED1">
          <w:rPr>
            <w:noProof/>
            <w:webHidden/>
          </w:rPr>
          <w:instrText xml:space="preserve"> PAGEREF _Toc354732568 \h </w:instrText>
        </w:r>
        <w:r w:rsidR="00BD4ED1">
          <w:rPr>
            <w:noProof/>
            <w:webHidden/>
          </w:rPr>
        </w:r>
        <w:r w:rsidR="00BD4ED1">
          <w:rPr>
            <w:noProof/>
            <w:webHidden/>
          </w:rPr>
          <w:fldChar w:fldCharType="separate"/>
        </w:r>
        <w:r w:rsidR="00BD4ED1">
          <w:rPr>
            <w:noProof/>
            <w:webHidden/>
          </w:rPr>
          <w:t>21</w:t>
        </w:r>
        <w:r w:rsidR="00BD4ED1">
          <w:rPr>
            <w:noProof/>
            <w:webHidden/>
          </w:rPr>
          <w:fldChar w:fldCharType="end"/>
        </w:r>
      </w:hyperlink>
    </w:p>
    <w:p w:rsidR="00BD4ED1" w:rsidRDefault="007337FE">
      <w:pPr>
        <w:pStyle w:val="TOC4"/>
        <w:tabs>
          <w:tab w:val="right" w:leader="dot" w:pos="9174"/>
        </w:tabs>
        <w:rPr>
          <w:rFonts w:eastAsiaTheme="minorEastAsia" w:cstheme="minorBidi"/>
          <w:noProof/>
          <w:sz w:val="22"/>
          <w:szCs w:val="22"/>
          <w:lang w:eastAsia="lv-LV"/>
        </w:rPr>
      </w:pPr>
      <w:hyperlink w:anchor="_Toc354732569" w:history="1">
        <w:r w:rsidR="00BD4ED1" w:rsidRPr="000F1B69">
          <w:rPr>
            <w:rStyle w:val="Hyperlink"/>
            <w:noProof/>
          </w:rPr>
          <w:t>3.2.2.1. Kapacitātes un spēju ierobežojumi</w:t>
        </w:r>
        <w:r w:rsidR="00BD4ED1">
          <w:rPr>
            <w:noProof/>
            <w:webHidden/>
          </w:rPr>
          <w:tab/>
        </w:r>
        <w:r w:rsidR="00BD4ED1">
          <w:rPr>
            <w:noProof/>
            <w:webHidden/>
          </w:rPr>
          <w:fldChar w:fldCharType="begin"/>
        </w:r>
        <w:r w:rsidR="00BD4ED1">
          <w:rPr>
            <w:noProof/>
            <w:webHidden/>
          </w:rPr>
          <w:instrText xml:space="preserve"> PAGEREF _Toc354732569 \h </w:instrText>
        </w:r>
        <w:r w:rsidR="00BD4ED1">
          <w:rPr>
            <w:noProof/>
            <w:webHidden/>
          </w:rPr>
        </w:r>
        <w:r w:rsidR="00BD4ED1">
          <w:rPr>
            <w:noProof/>
            <w:webHidden/>
          </w:rPr>
          <w:fldChar w:fldCharType="separate"/>
        </w:r>
        <w:r w:rsidR="00BD4ED1">
          <w:rPr>
            <w:noProof/>
            <w:webHidden/>
          </w:rPr>
          <w:t>21</w:t>
        </w:r>
        <w:r w:rsidR="00BD4ED1">
          <w:rPr>
            <w:noProof/>
            <w:webHidden/>
          </w:rPr>
          <w:fldChar w:fldCharType="end"/>
        </w:r>
      </w:hyperlink>
    </w:p>
    <w:p w:rsidR="00BD4ED1" w:rsidRDefault="007337FE">
      <w:pPr>
        <w:pStyle w:val="TOC4"/>
        <w:tabs>
          <w:tab w:val="right" w:leader="dot" w:pos="9174"/>
        </w:tabs>
        <w:rPr>
          <w:rFonts w:eastAsiaTheme="minorEastAsia" w:cstheme="minorBidi"/>
          <w:noProof/>
          <w:sz w:val="22"/>
          <w:szCs w:val="22"/>
          <w:lang w:eastAsia="lv-LV"/>
        </w:rPr>
      </w:pPr>
      <w:hyperlink w:anchor="_Toc354732570" w:history="1">
        <w:r w:rsidR="00BD4ED1" w:rsidRPr="000F1B69">
          <w:rPr>
            <w:rStyle w:val="Hyperlink"/>
            <w:noProof/>
          </w:rPr>
          <w:t>3.2.2.2. Regulējuma ierobežojums</w:t>
        </w:r>
        <w:r w:rsidR="00BD4ED1">
          <w:rPr>
            <w:noProof/>
            <w:webHidden/>
          </w:rPr>
          <w:tab/>
        </w:r>
        <w:r w:rsidR="00BD4ED1">
          <w:rPr>
            <w:noProof/>
            <w:webHidden/>
          </w:rPr>
          <w:fldChar w:fldCharType="begin"/>
        </w:r>
        <w:r w:rsidR="00BD4ED1">
          <w:rPr>
            <w:noProof/>
            <w:webHidden/>
          </w:rPr>
          <w:instrText xml:space="preserve"> PAGEREF _Toc354732570 \h </w:instrText>
        </w:r>
        <w:r w:rsidR="00BD4ED1">
          <w:rPr>
            <w:noProof/>
            <w:webHidden/>
          </w:rPr>
        </w:r>
        <w:r w:rsidR="00BD4ED1">
          <w:rPr>
            <w:noProof/>
            <w:webHidden/>
          </w:rPr>
          <w:fldChar w:fldCharType="separate"/>
        </w:r>
        <w:r w:rsidR="00BD4ED1">
          <w:rPr>
            <w:noProof/>
            <w:webHidden/>
          </w:rPr>
          <w:t>23</w:t>
        </w:r>
        <w:r w:rsidR="00BD4ED1">
          <w:rPr>
            <w:noProof/>
            <w:webHidden/>
          </w:rPr>
          <w:fldChar w:fldCharType="end"/>
        </w:r>
      </w:hyperlink>
    </w:p>
    <w:p w:rsidR="00BD4ED1" w:rsidRDefault="007337FE">
      <w:pPr>
        <w:pStyle w:val="TOC4"/>
        <w:tabs>
          <w:tab w:val="right" w:leader="dot" w:pos="9174"/>
        </w:tabs>
        <w:rPr>
          <w:rFonts w:eastAsiaTheme="minorEastAsia" w:cstheme="minorBidi"/>
          <w:noProof/>
          <w:sz w:val="22"/>
          <w:szCs w:val="22"/>
          <w:lang w:eastAsia="lv-LV"/>
        </w:rPr>
      </w:pPr>
      <w:hyperlink w:anchor="_Toc354732571" w:history="1">
        <w:r w:rsidR="00BD4ED1" w:rsidRPr="000F1B69">
          <w:rPr>
            <w:rStyle w:val="Hyperlink"/>
            <w:noProof/>
          </w:rPr>
          <w:t>3.2.2.3. Sadarbības ierobežojums</w:t>
        </w:r>
        <w:r w:rsidR="00BD4ED1">
          <w:rPr>
            <w:noProof/>
            <w:webHidden/>
          </w:rPr>
          <w:tab/>
        </w:r>
        <w:r w:rsidR="00BD4ED1">
          <w:rPr>
            <w:noProof/>
            <w:webHidden/>
          </w:rPr>
          <w:fldChar w:fldCharType="begin"/>
        </w:r>
        <w:r w:rsidR="00BD4ED1">
          <w:rPr>
            <w:noProof/>
            <w:webHidden/>
          </w:rPr>
          <w:instrText xml:space="preserve"> PAGEREF _Toc354732571 \h </w:instrText>
        </w:r>
        <w:r w:rsidR="00BD4ED1">
          <w:rPr>
            <w:noProof/>
            <w:webHidden/>
          </w:rPr>
        </w:r>
        <w:r w:rsidR="00BD4ED1">
          <w:rPr>
            <w:noProof/>
            <w:webHidden/>
          </w:rPr>
          <w:fldChar w:fldCharType="separate"/>
        </w:r>
        <w:r w:rsidR="00BD4ED1">
          <w:rPr>
            <w:noProof/>
            <w:webHidden/>
          </w:rPr>
          <w:t>23</w:t>
        </w:r>
        <w:r w:rsidR="00BD4ED1">
          <w:rPr>
            <w:noProof/>
            <w:webHidden/>
          </w:rPr>
          <w:fldChar w:fldCharType="end"/>
        </w:r>
      </w:hyperlink>
    </w:p>
    <w:p w:rsidR="00BD4ED1" w:rsidRDefault="007337FE">
      <w:pPr>
        <w:pStyle w:val="TOC1"/>
        <w:rPr>
          <w:rFonts w:eastAsiaTheme="minorEastAsia" w:cstheme="minorBidi"/>
          <w:b w:val="0"/>
          <w:bCs w:val="0"/>
          <w:caps w:val="0"/>
          <w:noProof/>
          <w:sz w:val="22"/>
          <w:szCs w:val="22"/>
          <w:lang w:eastAsia="lv-LV"/>
        </w:rPr>
      </w:pPr>
      <w:hyperlink w:anchor="_Toc354732572" w:history="1">
        <w:r w:rsidR="00BD4ED1" w:rsidRPr="000F1B69">
          <w:rPr>
            <w:rStyle w:val="Hyperlink"/>
            <w:noProof/>
          </w:rPr>
          <w:t>4.</w:t>
        </w:r>
        <w:r w:rsidR="00BD4ED1">
          <w:rPr>
            <w:rFonts w:eastAsiaTheme="minorEastAsia" w:cstheme="minorBidi"/>
            <w:b w:val="0"/>
            <w:bCs w:val="0"/>
            <w:caps w:val="0"/>
            <w:noProof/>
            <w:sz w:val="22"/>
            <w:szCs w:val="22"/>
            <w:lang w:eastAsia="lv-LV"/>
          </w:rPr>
          <w:tab/>
        </w:r>
        <w:r w:rsidR="00BD4ED1" w:rsidRPr="000F1B69">
          <w:rPr>
            <w:rStyle w:val="Hyperlink"/>
            <w:noProof/>
          </w:rPr>
          <w:t>Eksportspējīgāko produktu ražotāju un pakalpojumu sniedzēju SVID analīze</w:t>
        </w:r>
        <w:r w:rsidR="00BD4ED1">
          <w:rPr>
            <w:noProof/>
            <w:webHidden/>
          </w:rPr>
          <w:tab/>
        </w:r>
        <w:r w:rsidR="00BD4ED1">
          <w:rPr>
            <w:noProof/>
            <w:webHidden/>
          </w:rPr>
          <w:fldChar w:fldCharType="begin"/>
        </w:r>
        <w:r w:rsidR="00BD4ED1">
          <w:rPr>
            <w:noProof/>
            <w:webHidden/>
          </w:rPr>
          <w:instrText xml:space="preserve"> PAGEREF _Toc354732572 \h </w:instrText>
        </w:r>
        <w:r w:rsidR="00BD4ED1">
          <w:rPr>
            <w:noProof/>
            <w:webHidden/>
          </w:rPr>
        </w:r>
        <w:r w:rsidR="00BD4ED1">
          <w:rPr>
            <w:noProof/>
            <w:webHidden/>
          </w:rPr>
          <w:fldChar w:fldCharType="separate"/>
        </w:r>
        <w:r w:rsidR="00BD4ED1">
          <w:rPr>
            <w:noProof/>
            <w:webHidden/>
          </w:rPr>
          <w:t>23</w:t>
        </w:r>
        <w:r w:rsidR="00BD4ED1">
          <w:rPr>
            <w:noProof/>
            <w:webHidden/>
          </w:rPr>
          <w:fldChar w:fldCharType="end"/>
        </w:r>
      </w:hyperlink>
    </w:p>
    <w:p w:rsidR="00BD4ED1" w:rsidRDefault="007337FE">
      <w:pPr>
        <w:pStyle w:val="TOC1"/>
        <w:rPr>
          <w:rFonts w:eastAsiaTheme="minorEastAsia" w:cstheme="minorBidi"/>
          <w:b w:val="0"/>
          <w:bCs w:val="0"/>
          <w:caps w:val="0"/>
          <w:noProof/>
          <w:sz w:val="22"/>
          <w:szCs w:val="22"/>
          <w:lang w:eastAsia="lv-LV"/>
        </w:rPr>
      </w:pPr>
      <w:hyperlink w:anchor="_Toc354732573" w:history="1">
        <w:r w:rsidR="00BD4ED1" w:rsidRPr="000F1B69">
          <w:rPr>
            <w:rStyle w:val="Hyperlink"/>
            <w:noProof/>
          </w:rPr>
          <w:t>5.</w:t>
        </w:r>
        <w:r w:rsidR="00BD4ED1">
          <w:rPr>
            <w:rFonts w:eastAsiaTheme="minorEastAsia" w:cstheme="minorBidi"/>
            <w:b w:val="0"/>
            <w:bCs w:val="0"/>
            <w:caps w:val="0"/>
            <w:noProof/>
            <w:sz w:val="22"/>
            <w:szCs w:val="22"/>
            <w:lang w:eastAsia="lv-LV"/>
          </w:rPr>
          <w:tab/>
        </w:r>
        <w:r w:rsidR="00BD4ED1" w:rsidRPr="000F1B69">
          <w:rPr>
            <w:rStyle w:val="Hyperlink"/>
            <w:noProof/>
          </w:rPr>
          <w:t>Nacionālās industriālās politikas izaicinājumi</w:t>
        </w:r>
        <w:r w:rsidR="00BD4ED1">
          <w:rPr>
            <w:noProof/>
            <w:webHidden/>
          </w:rPr>
          <w:tab/>
        </w:r>
        <w:r w:rsidR="00BD4ED1">
          <w:rPr>
            <w:noProof/>
            <w:webHidden/>
          </w:rPr>
          <w:fldChar w:fldCharType="begin"/>
        </w:r>
        <w:r w:rsidR="00BD4ED1">
          <w:rPr>
            <w:noProof/>
            <w:webHidden/>
          </w:rPr>
          <w:instrText xml:space="preserve"> PAGEREF _Toc354732573 \h </w:instrText>
        </w:r>
        <w:r w:rsidR="00BD4ED1">
          <w:rPr>
            <w:noProof/>
            <w:webHidden/>
          </w:rPr>
        </w:r>
        <w:r w:rsidR="00BD4ED1">
          <w:rPr>
            <w:noProof/>
            <w:webHidden/>
          </w:rPr>
          <w:fldChar w:fldCharType="separate"/>
        </w:r>
        <w:r w:rsidR="00BD4ED1">
          <w:rPr>
            <w:noProof/>
            <w:webHidden/>
          </w:rPr>
          <w:t>25</w:t>
        </w:r>
        <w:r w:rsidR="00BD4ED1">
          <w:rPr>
            <w:noProof/>
            <w:webHidden/>
          </w:rPr>
          <w:fldChar w:fldCharType="end"/>
        </w:r>
      </w:hyperlink>
    </w:p>
    <w:p w:rsidR="00BD4ED1" w:rsidRDefault="007337FE">
      <w:pPr>
        <w:pStyle w:val="TOC1"/>
        <w:rPr>
          <w:rFonts w:eastAsiaTheme="minorEastAsia" w:cstheme="minorBidi"/>
          <w:b w:val="0"/>
          <w:bCs w:val="0"/>
          <w:caps w:val="0"/>
          <w:noProof/>
          <w:sz w:val="22"/>
          <w:szCs w:val="22"/>
          <w:lang w:eastAsia="lv-LV"/>
        </w:rPr>
      </w:pPr>
      <w:hyperlink w:anchor="_Toc354732574" w:history="1">
        <w:r w:rsidR="00BD4ED1" w:rsidRPr="000F1B69">
          <w:rPr>
            <w:rStyle w:val="Hyperlink"/>
            <w:noProof/>
          </w:rPr>
          <w:t>6.</w:t>
        </w:r>
        <w:r w:rsidR="00BD4ED1">
          <w:rPr>
            <w:rFonts w:eastAsiaTheme="minorEastAsia" w:cstheme="minorBidi"/>
            <w:b w:val="0"/>
            <w:bCs w:val="0"/>
            <w:caps w:val="0"/>
            <w:noProof/>
            <w:sz w:val="22"/>
            <w:szCs w:val="22"/>
            <w:lang w:eastAsia="lv-LV"/>
          </w:rPr>
          <w:tab/>
        </w:r>
        <w:r w:rsidR="00BD4ED1" w:rsidRPr="000F1B69">
          <w:rPr>
            <w:rStyle w:val="Hyperlink"/>
            <w:noProof/>
          </w:rPr>
          <w:t>Nacionālās industriālās politikas mērķis un rezultatīvie rādītāji</w:t>
        </w:r>
        <w:r w:rsidR="00BD4ED1">
          <w:rPr>
            <w:noProof/>
            <w:webHidden/>
          </w:rPr>
          <w:tab/>
        </w:r>
        <w:r w:rsidR="00BD4ED1">
          <w:rPr>
            <w:noProof/>
            <w:webHidden/>
          </w:rPr>
          <w:fldChar w:fldCharType="begin"/>
        </w:r>
        <w:r w:rsidR="00BD4ED1">
          <w:rPr>
            <w:noProof/>
            <w:webHidden/>
          </w:rPr>
          <w:instrText xml:space="preserve"> PAGEREF _Toc354732574 \h </w:instrText>
        </w:r>
        <w:r w:rsidR="00BD4ED1">
          <w:rPr>
            <w:noProof/>
            <w:webHidden/>
          </w:rPr>
        </w:r>
        <w:r w:rsidR="00BD4ED1">
          <w:rPr>
            <w:noProof/>
            <w:webHidden/>
          </w:rPr>
          <w:fldChar w:fldCharType="separate"/>
        </w:r>
        <w:r w:rsidR="00BD4ED1">
          <w:rPr>
            <w:noProof/>
            <w:webHidden/>
          </w:rPr>
          <w:t>27</w:t>
        </w:r>
        <w:r w:rsidR="00BD4ED1">
          <w:rPr>
            <w:noProof/>
            <w:webHidden/>
          </w:rPr>
          <w:fldChar w:fldCharType="end"/>
        </w:r>
      </w:hyperlink>
    </w:p>
    <w:p w:rsidR="00BD4ED1" w:rsidRDefault="007337FE">
      <w:pPr>
        <w:pStyle w:val="TOC1"/>
        <w:rPr>
          <w:rFonts w:eastAsiaTheme="minorEastAsia" w:cstheme="minorBidi"/>
          <w:b w:val="0"/>
          <w:bCs w:val="0"/>
          <w:caps w:val="0"/>
          <w:noProof/>
          <w:sz w:val="22"/>
          <w:szCs w:val="22"/>
          <w:lang w:eastAsia="lv-LV"/>
        </w:rPr>
      </w:pPr>
      <w:hyperlink w:anchor="_Toc354732575" w:history="1">
        <w:r w:rsidR="00BD4ED1" w:rsidRPr="000F1B69">
          <w:rPr>
            <w:rStyle w:val="Hyperlink"/>
            <w:noProof/>
          </w:rPr>
          <w:t>7.</w:t>
        </w:r>
        <w:r w:rsidR="00BD4ED1">
          <w:rPr>
            <w:rFonts w:eastAsiaTheme="minorEastAsia" w:cstheme="minorBidi"/>
            <w:b w:val="0"/>
            <w:bCs w:val="0"/>
            <w:caps w:val="0"/>
            <w:noProof/>
            <w:sz w:val="22"/>
            <w:szCs w:val="22"/>
            <w:lang w:eastAsia="lv-LV"/>
          </w:rPr>
          <w:tab/>
        </w:r>
        <w:r w:rsidR="00BD4ED1" w:rsidRPr="000F1B69">
          <w:rPr>
            <w:rStyle w:val="Hyperlink"/>
            <w:noProof/>
          </w:rPr>
          <w:t>Rīcības virzieni un uzdevumi politikas mērķu un rezultātu sasniegšanai, problēmu risināšanai</w:t>
        </w:r>
        <w:r w:rsidR="00BD4ED1">
          <w:rPr>
            <w:noProof/>
            <w:webHidden/>
          </w:rPr>
          <w:tab/>
        </w:r>
        <w:r w:rsidR="00BD4ED1">
          <w:rPr>
            <w:noProof/>
            <w:webHidden/>
          </w:rPr>
          <w:fldChar w:fldCharType="begin"/>
        </w:r>
        <w:r w:rsidR="00BD4ED1">
          <w:rPr>
            <w:noProof/>
            <w:webHidden/>
          </w:rPr>
          <w:instrText xml:space="preserve"> PAGEREF _Toc354732575 \h </w:instrText>
        </w:r>
        <w:r w:rsidR="00BD4ED1">
          <w:rPr>
            <w:noProof/>
            <w:webHidden/>
          </w:rPr>
        </w:r>
        <w:r w:rsidR="00BD4ED1">
          <w:rPr>
            <w:noProof/>
            <w:webHidden/>
          </w:rPr>
          <w:fldChar w:fldCharType="separate"/>
        </w:r>
        <w:r w:rsidR="00BD4ED1">
          <w:rPr>
            <w:noProof/>
            <w:webHidden/>
          </w:rPr>
          <w:t>27</w:t>
        </w:r>
        <w:r w:rsidR="00BD4ED1">
          <w:rPr>
            <w:noProof/>
            <w:webHidden/>
          </w:rPr>
          <w:fldChar w:fldCharType="end"/>
        </w:r>
      </w:hyperlink>
    </w:p>
    <w:p w:rsidR="00BD4ED1" w:rsidRDefault="007337FE">
      <w:pPr>
        <w:pStyle w:val="TOC2"/>
        <w:tabs>
          <w:tab w:val="right" w:leader="dot" w:pos="9174"/>
        </w:tabs>
        <w:rPr>
          <w:rFonts w:eastAsiaTheme="minorEastAsia" w:cstheme="minorBidi"/>
          <w:smallCaps w:val="0"/>
          <w:noProof/>
          <w:sz w:val="22"/>
          <w:szCs w:val="22"/>
          <w:lang w:eastAsia="lv-LV"/>
        </w:rPr>
      </w:pPr>
      <w:hyperlink w:anchor="_Toc354732576" w:history="1">
        <w:r w:rsidR="00BD4ED1" w:rsidRPr="000F1B69">
          <w:rPr>
            <w:rStyle w:val="Hyperlink"/>
            <w:rFonts w:eastAsia="MS Mincho"/>
            <w:noProof/>
            <w:lang w:eastAsia="ja-JP"/>
          </w:rPr>
          <w:t>7.1. Darbaspēka pieejamība un tautsaimniecības attīstības vajadzībām atbilstošs izglītības piedāvājums</w:t>
        </w:r>
        <w:r w:rsidR="00BD4ED1">
          <w:rPr>
            <w:noProof/>
            <w:webHidden/>
          </w:rPr>
          <w:tab/>
        </w:r>
        <w:r w:rsidR="00BD4ED1">
          <w:rPr>
            <w:noProof/>
            <w:webHidden/>
          </w:rPr>
          <w:fldChar w:fldCharType="begin"/>
        </w:r>
        <w:r w:rsidR="00BD4ED1">
          <w:rPr>
            <w:noProof/>
            <w:webHidden/>
          </w:rPr>
          <w:instrText xml:space="preserve"> PAGEREF _Toc354732576 \h </w:instrText>
        </w:r>
        <w:r w:rsidR="00BD4ED1">
          <w:rPr>
            <w:noProof/>
            <w:webHidden/>
          </w:rPr>
        </w:r>
        <w:r w:rsidR="00BD4ED1">
          <w:rPr>
            <w:noProof/>
            <w:webHidden/>
          </w:rPr>
          <w:fldChar w:fldCharType="separate"/>
        </w:r>
        <w:r w:rsidR="00BD4ED1">
          <w:rPr>
            <w:noProof/>
            <w:webHidden/>
          </w:rPr>
          <w:t>28</w:t>
        </w:r>
        <w:r w:rsidR="00BD4ED1">
          <w:rPr>
            <w:noProof/>
            <w:webHidden/>
          </w:rPr>
          <w:fldChar w:fldCharType="end"/>
        </w:r>
      </w:hyperlink>
    </w:p>
    <w:p w:rsidR="00BD4ED1" w:rsidRDefault="007337FE">
      <w:pPr>
        <w:pStyle w:val="TOC2"/>
        <w:tabs>
          <w:tab w:val="right" w:leader="dot" w:pos="9174"/>
        </w:tabs>
        <w:rPr>
          <w:rFonts w:eastAsiaTheme="minorEastAsia" w:cstheme="minorBidi"/>
          <w:smallCaps w:val="0"/>
          <w:noProof/>
          <w:sz w:val="22"/>
          <w:szCs w:val="22"/>
          <w:lang w:eastAsia="lv-LV"/>
        </w:rPr>
      </w:pPr>
      <w:hyperlink w:anchor="_Toc354732577" w:history="1">
        <w:r w:rsidR="00BD4ED1" w:rsidRPr="000F1B69">
          <w:rPr>
            <w:rStyle w:val="Hyperlink"/>
            <w:noProof/>
          </w:rPr>
          <w:t>7.2. Industriālo zonu attīstība</w:t>
        </w:r>
        <w:r w:rsidR="00BD4ED1">
          <w:rPr>
            <w:noProof/>
            <w:webHidden/>
          </w:rPr>
          <w:tab/>
        </w:r>
        <w:r w:rsidR="00BD4ED1">
          <w:rPr>
            <w:noProof/>
            <w:webHidden/>
          </w:rPr>
          <w:fldChar w:fldCharType="begin"/>
        </w:r>
        <w:r w:rsidR="00BD4ED1">
          <w:rPr>
            <w:noProof/>
            <w:webHidden/>
          </w:rPr>
          <w:instrText xml:space="preserve"> PAGEREF _Toc354732577 \h </w:instrText>
        </w:r>
        <w:r w:rsidR="00BD4ED1">
          <w:rPr>
            <w:noProof/>
            <w:webHidden/>
          </w:rPr>
        </w:r>
        <w:r w:rsidR="00BD4ED1">
          <w:rPr>
            <w:noProof/>
            <w:webHidden/>
          </w:rPr>
          <w:fldChar w:fldCharType="separate"/>
        </w:r>
        <w:r w:rsidR="00BD4ED1">
          <w:rPr>
            <w:noProof/>
            <w:webHidden/>
          </w:rPr>
          <w:t>30</w:t>
        </w:r>
        <w:r w:rsidR="00BD4ED1">
          <w:rPr>
            <w:noProof/>
            <w:webHidden/>
          </w:rPr>
          <w:fldChar w:fldCharType="end"/>
        </w:r>
      </w:hyperlink>
    </w:p>
    <w:p w:rsidR="00BD4ED1" w:rsidRDefault="007337FE">
      <w:pPr>
        <w:pStyle w:val="TOC2"/>
        <w:tabs>
          <w:tab w:val="right" w:leader="dot" w:pos="9174"/>
        </w:tabs>
        <w:rPr>
          <w:rFonts w:eastAsiaTheme="minorEastAsia" w:cstheme="minorBidi"/>
          <w:smallCaps w:val="0"/>
          <w:noProof/>
          <w:sz w:val="22"/>
          <w:szCs w:val="22"/>
          <w:lang w:eastAsia="lv-LV"/>
        </w:rPr>
      </w:pPr>
      <w:hyperlink w:anchor="_Toc354732578" w:history="1">
        <w:r w:rsidR="00BD4ED1" w:rsidRPr="000F1B69">
          <w:rPr>
            <w:rStyle w:val="Hyperlink"/>
            <w:noProof/>
          </w:rPr>
          <w:t>7.3. Finanšu pieejamība</w:t>
        </w:r>
        <w:r w:rsidR="00BD4ED1">
          <w:rPr>
            <w:noProof/>
            <w:webHidden/>
          </w:rPr>
          <w:tab/>
        </w:r>
        <w:r w:rsidR="00BD4ED1">
          <w:rPr>
            <w:noProof/>
            <w:webHidden/>
          </w:rPr>
          <w:fldChar w:fldCharType="begin"/>
        </w:r>
        <w:r w:rsidR="00BD4ED1">
          <w:rPr>
            <w:noProof/>
            <w:webHidden/>
          </w:rPr>
          <w:instrText xml:space="preserve"> PAGEREF _Toc354732578 \h </w:instrText>
        </w:r>
        <w:r w:rsidR="00BD4ED1">
          <w:rPr>
            <w:noProof/>
            <w:webHidden/>
          </w:rPr>
        </w:r>
        <w:r w:rsidR="00BD4ED1">
          <w:rPr>
            <w:noProof/>
            <w:webHidden/>
          </w:rPr>
          <w:fldChar w:fldCharType="separate"/>
        </w:r>
        <w:r w:rsidR="00BD4ED1">
          <w:rPr>
            <w:noProof/>
            <w:webHidden/>
          </w:rPr>
          <w:t>31</w:t>
        </w:r>
        <w:r w:rsidR="00BD4ED1">
          <w:rPr>
            <w:noProof/>
            <w:webHidden/>
          </w:rPr>
          <w:fldChar w:fldCharType="end"/>
        </w:r>
      </w:hyperlink>
    </w:p>
    <w:p w:rsidR="00BD4ED1" w:rsidRDefault="007337FE">
      <w:pPr>
        <w:pStyle w:val="TOC2"/>
        <w:tabs>
          <w:tab w:val="right" w:leader="dot" w:pos="9174"/>
        </w:tabs>
        <w:rPr>
          <w:rFonts w:eastAsiaTheme="minorEastAsia" w:cstheme="minorBidi"/>
          <w:smallCaps w:val="0"/>
          <w:noProof/>
          <w:sz w:val="22"/>
          <w:szCs w:val="22"/>
          <w:lang w:eastAsia="lv-LV"/>
        </w:rPr>
      </w:pPr>
      <w:hyperlink w:anchor="_Toc354732579" w:history="1">
        <w:r w:rsidR="00BD4ED1" w:rsidRPr="000F1B69">
          <w:rPr>
            <w:rStyle w:val="Hyperlink"/>
            <w:noProof/>
          </w:rPr>
          <w:t>7.4. Inovācijas kapacitātes paaugstināšana</w:t>
        </w:r>
        <w:r w:rsidR="00BD4ED1">
          <w:rPr>
            <w:noProof/>
            <w:webHidden/>
          </w:rPr>
          <w:tab/>
        </w:r>
        <w:r w:rsidR="00BD4ED1">
          <w:rPr>
            <w:noProof/>
            <w:webHidden/>
          </w:rPr>
          <w:fldChar w:fldCharType="begin"/>
        </w:r>
        <w:r w:rsidR="00BD4ED1">
          <w:rPr>
            <w:noProof/>
            <w:webHidden/>
          </w:rPr>
          <w:instrText xml:space="preserve"> PAGEREF _Toc354732579 \h </w:instrText>
        </w:r>
        <w:r w:rsidR="00BD4ED1">
          <w:rPr>
            <w:noProof/>
            <w:webHidden/>
          </w:rPr>
        </w:r>
        <w:r w:rsidR="00BD4ED1">
          <w:rPr>
            <w:noProof/>
            <w:webHidden/>
          </w:rPr>
          <w:fldChar w:fldCharType="separate"/>
        </w:r>
        <w:r w:rsidR="00BD4ED1">
          <w:rPr>
            <w:noProof/>
            <w:webHidden/>
          </w:rPr>
          <w:t>32</w:t>
        </w:r>
        <w:r w:rsidR="00BD4ED1">
          <w:rPr>
            <w:noProof/>
            <w:webHidden/>
          </w:rPr>
          <w:fldChar w:fldCharType="end"/>
        </w:r>
      </w:hyperlink>
    </w:p>
    <w:p w:rsidR="00BD4ED1" w:rsidRDefault="007337FE">
      <w:pPr>
        <w:pStyle w:val="TOC2"/>
        <w:tabs>
          <w:tab w:val="right" w:leader="dot" w:pos="9174"/>
        </w:tabs>
        <w:rPr>
          <w:rFonts w:eastAsiaTheme="minorEastAsia" w:cstheme="minorBidi"/>
          <w:smallCaps w:val="0"/>
          <w:noProof/>
          <w:sz w:val="22"/>
          <w:szCs w:val="22"/>
          <w:lang w:eastAsia="lv-LV"/>
        </w:rPr>
      </w:pPr>
      <w:hyperlink w:anchor="_Toc354732580" w:history="1">
        <w:r w:rsidR="00BD4ED1" w:rsidRPr="000F1B69">
          <w:rPr>
            <w:rStyle w:val="Hyperlink"/>
            <w:noProof/>
          </w:rPr>
          <w:t>7.5. Eksporta veicināšana</w:t>
        </w:r>
        <w:r w:rsidR="00BD4ED1">
          <w:rPr>
            <w:noProof/>
            <w:webHidden/>
          </w:rPr>
          <w:tab/>
        </w:r>
        <w:r w:rsidR="00BD4ED1">
          <w:rPr>
            <w:noProof/>
            <w:webHidden/>
          </w:rPr>
          <w:fldChar w:fldCharType="begin"/>
        </w:r>
        <w:r w:rsidR="00BD4ED1">
          <w:rPr>
            <w:noProof/>
            <w:webHidden/>
          </w:rPr>
          <w:instrText xml:space="preserve"> PAGEREF _Toc354732580 \h </w:instrText>
        </w:r>
        <w:r w:rsidR="00BD4ED1">
          <w:rPr>
            <w:noProof/>
            <w:webHidden/>
          </w:rPr>
        </w:r>
        <w:r w:rsidR="00BD4ED1">
          <w:rPr>
            <w:noProof/>
            <w:webHidden/>
          </w:rPr>
          <w:fldChar w:fldCharType="separate"/>
        </w:r>
        <w:r w:rsidR="00BD4ED1">
          <w:rPr>
            <w:noProof/>
            <w:webHidden/>
          </w:rPr>
          <w:t>35</w:t>
        </w:r>
        <w:r w:rsidR="00BD4ED1">
          <w:rPr>
            <w:noProof/>
            <w:webHidden/>
          </w:rPr>
          <w:fldChar w:fldCharType="end"/>
        </w:r>
      </w:hyperlink>
    </w:p>
    <w:p w:rsidR="00BD4ED1" w:rsidRDefault="007337FE">
      <w:pPr>
        <w:pStyle w:val="TOC2"/>
        <w:tabs>
          <w:tab w:val="right" w:leader="dot" w:pos="9174"/>
        </w:tabs>
        <w:rPr>
          <w:rFonts w:eastAsiaTheme="minorEastAsia" w:cstheme="minorBidi"/>
          <w:smallCaps w:val="0"/>
          <w:noProof/>
          <w:sz w:val="22"/>
          <w:szCs w:val="22"/>
          <w:lang w:eastAsia="lv-LV"/>
        </w:rPr>
      </w:pPr>
      <w:hyperlink w:anchor="_Toc354732581" w:history="1">
        <w:r w:rsidR="00BD4ED1" w:rsidRPr="000F1B69">
          <w:rPr>
            <w:rStyle w:val="Hyperlink"/>
            <w:noProof/>
          </w:rPr>
          <w:t>7.6. Energoresursu izmaksu samazināšana</w:t>
        </w:r>
        <w:r w:rsidR="00BD4ED1">
          <w:rPr>
            <w:noProof/>
            <w:webHidden/>
          </w:rPr>
          <w:tab/>
        </w:r>
        <w:r w:rsidR="00BD4ED1">
          <w:rPr>
            <w:noProof/>
            <w:webHidden/>
          </w:rPr>
          <w:fldChar w:fldCharType="begin"/>
        </w:r>
        <w:r w:rsidR="00BD4ED1">
          <w:rPr>
            <w:noProof/>
            <w:webHidden/>
          </w:rPr>
          <w:instrText xml:space="preserve"> PAGEREF _Toc354732581 \h </w:instrText>
        </w:r>
        <w:r w:rsidR="00BD4ED1">
          <w:rPr>
            <w:noProof/>
            <w:webHidden/>
          </w:rPr>
        </w:r>
        <w:r w:rsidR="00BD4ED1">
          <w:rPr>
            <w:noProof/>
            <w:webHidden/>
          </w:rPr>
          <w:fldChar w:fldCharType="separate"/>
        </w:r>
        <w:r w:rsidR="00BD4ED1">
          <w:rPr>
            <w:noProof/>
            <w:webHidden/>
          </w:rPr>
          <w:t>36</w:t>
        </w:r>
        <w:r w:rsidR="00BD4ED1">
          <w:rPr>
            <w:noProof/>
            <w:webHidden/>
          </w:rPr>
          <w:fldChar w:fldCharType="end"/>
        </w:r>
      </w:hyperlink>
    </w:p>
    <w:p w:rsidR="00BD4ED1" w:rsidRDefault="007337FE">
      <w:pPr>
        <w:pStyle w:val="TOC1"/>
        <w:rPr>
          <w:rFonts w:eastAsiaTheme="minorEastAsia" w:cstheme="minorBidi"/>
          <w:b w:val="0"/>
          <w:bCs w:val="0"/>
          <w:caps w:val="0"/>
          <w:noProof/>
          <w:sz w:val="22"/>
          <w:szCs w:val="22"/>
          <w:lang w:eastAsia="lv-LV"/>
        </w:rPr>
      </w:pPr>
      <w:hyperlink w:anchor="_Toc354732582" w:history="1">
        <w:r w:rsidR="00BD4ED1" w:rsidRPr="000F1B69">
          <w:rPr>
            <w:rStyle w:val="Hyperlink"/>
            <w:noProof/>
          </w:rPr>
          <w:t>8.</w:t>
        </w:r>
        <w:r w:rsidR="00BD4ED1">
          <w:rPr>
            <w:rFonts w:eastAsiaTheme="minorEastAsia" w:cstheme="minorBidi"/>
            <w:b w:val="0"/>
            <w:bCs w:val="0"/>
            <w:caps w:val="0"/>
            <w:noProof/>
            <w:sz w:val="22"/>
            <w:szCs w:val="22"/>
            <w:lang w:eastAsia="lv-LV"/>
          </w:rPr>
          <w:tab/>
        </w:r>
        <w:r w:rsidR="00BD4ED1" w:rsidRPr="000F1B69">
          <w:rPr>
            <w:rStyle w:val="Hyperlink"/>
            <w:noProof/>
          </w:rPr>
          <w:t>Institucionālā sistēma pastāvīga dialoga nodrošināšanai</w:t>
        </w:r>
        <w:r w:rsidR="00BD4ED1">
          <w:rPr>
            <w:noProof/>
            <w:webHidden/>
          </w:rPr>
          <w:tab/>
        </w:r>
        <w:r w:rsidR="00BD4ED1">
          <w:rPr>
            <w:noProof/>
            <w:webHidden/>
          </w:rPr>
          <w:fldChar w:fldCharType="begin"/>
        </w:r>
        <w:r w:rsidR="00BD4ED1">
          <w:rPr>
            <w:noProof/>
            <w:webHidden/>
          </w:rPr>
          <w:instrText xml:space="preserve"> PAGEREF _Toc354732582 \h </w:instrText>
        </w:r>
        <w:r w:rsidR="00BD4ED1">
          <w:rPr>
            <w:noProof/>
            <w:webHidden/>
          </w:rPr>
        </w:r>
        <w:r w:rsidR="00BD4ED1">
          <w:rPr>
            <w:noProof/>
            <w:webHidden/>
          </w:rPr>
          <w:fldChar w:fldCharType="separate"/>
        </w:r>
        <w:r w:rsidR="00BD4ED1">
          <w:rPr>
            <w:noProof/>
            <w:webHidden/>
          </w:rPr>
          <w:t>37</w:t>
        </w:r>
        <w:r w:rsidR="00BD4ED1">
          <w:rPr>
            <w:noProof/>
            <w:webHidden/>
          </w:rPr>
          <w:fldChar w:fldCharType="end"/>
        </w:r>
      </w:hyperlink>
    </w:p>
    <w:p w:rsidR="00BD4ED1" w:rsidRDefault="007337FE">
      <w:pPr>
        <w:pStyle w:val="TOC1"/>
        <w:rPr>
          <w:rFonts w:eastAsiaTheme="minorEastAsia" w:cstheme="minorBidi"/>
          <w:b w:val="0"/>
          <w:bCs w:val="0"/>
          <w:caps w:val="0"/>
          <w:noProof/>
          <w:sz w:val="22"/>
          <w:szCs w:val="22"/>
          <w:lang w:eastAsia="lv-LV"/>
        </w:rPr>
      </w:pPr>
      <w:hyperlink w:anchor="_Toc354732583" w:history="1">
        <w:r w:rsidR="00BD4ED1" w:rsidRPr="000F1B69">
          <w:rPr>
            <w:rStyle w:val="Hyperlink"/>
            <w:noProof/>
          </w:rPr>
          <w:t>9.</w:t>
        </w:r>
        <w:r w:rsidR="00BD4ED1">
          <w:rPr>
            <w:rFonts w:eastAsiaTheme="minorEastAsia" w:cstheme="minorBidi"/>
            <w:b w:val="0"/>
            <w:bCs w:val="0"/>
            <w:caps w:val="0"/>
            <w:noProof/>
            <w:sz w:val="22"/>
            <w:szCs w:val="22"/>
            <w:lang w:eastAsia="lv-LV"/>
          </w:rPr>
          <w:tab/>
        </w:r>
        <w:r w:rsidR="00BD4ED1" w:rsidRPr="000F1B69">
          <w:rPr>
            <w:rStyle w:val="Hyperlink"/>
            <w:noProof/>
          </w:rPr>
          <w:t>Dokumenta ietekmes uz valsts un pašvaldības budžetiem novērtējums</w:t>
        </w:r>
        <w:r w:rsidR="00BD4ED1">
          <w:rPr>
            <w:noProof/>
            <w:webHidden/>
          </w:rPr>
          <w:tab/>
        </w:r>
        <w:r w:rsidR="00BD4ED1">
          <w:rPr>
            <w:noProof/>
            <w:webHidden/>
          </w:rPr>
          <w:fldChar w:fldCharType="begin"/>
        </w:r>
        <w:r w:rsidR="00BD4ED1">
          <w:rPr>
            <w:noProof/>
            <w:webHidden/>
          </w:rPr>
          <w:instrText xml:space="preserve"> PAGEREF _Toc354732583 \h </w:instrText>
        </w:r>
        <w:r w:rsidR="00BD4ED1">
          <w:rPr>
            <w:noProof/>
            <w:webHidden/>
          </w:rPr>
        </w:r>
        <w:r w:rsidR="00BD4ED1">
          <w:rPr>
            <w:noProof/>
            <w:webHidden/>
          </w:rPr>
          <w:fldChar w:fldCharType="separate"/>
        </w:r>
        <w:r w:rsidR="00BD4ED1">
          <w:rPr>
            <w:noProof/>
            <w:webHidden/>
          </w:rPr>
          <w:t>38</w:t>
        </w:r>
        <w:r w:rsidR="00BD4ED1">
          <w:rPr>
            <w:noProof/>
            <w:webHidden/>
          </w:rPr>
          <w:fldChar w:fldCharType="end"/>
        </w:r>
      </w:hyperlink>
    </w:p>
    <w:p w:rsidR="00BD4ED1" w:rsidRDefault="007337FE">
      <w:pPr>
        <w:pStyle w:val="TOC1"/>
        <w:tabs>
          <w:tab w:val="left" w:pos="1120"/>
        </w:tabs>
        <w:rPr>
          <w:rFonts w:eastAsiaTheme="minorEastAsia" w:cstheme="minorBidi"/>
          <w:b w:val="0"/>
          <w:bCs w:val="0"/>
          <w:caps w:val="0"/>
          <w:noProof/>
          <w:sz w:val="22"/>
          <w:szCs w:val="22"/>
          <w:lang w:eastAsia="lv-LV"/>
        </w:rPr>
      </w:pPr>
      <w:hyperlink w:anchor="_Toc354732584" w:history="1">
        <w:r w:rsidR="00BD4ED1" w:rsidRPr="000F1B69">
          <w:rPr>
            <w:rStyle w:val="Hyperlink"/>
            <w:noProof/>
          </w:rPr>
          <w:t>10.</w:t>
        </w:r>
        <w:r w:rsidR="00BD4ED1">
          <w:rPr>
            <w:rFonts w:eastAsiaTheme="minorEastAsia" w:cstheme="minorBidi"/>
            <w:b w:val="0"/>
            <w:bCs w:val="0"/>
            <w:caps w:val="0"/>
            <w:noProof/>
            <w:sz w:val="22"/>
            <w:szCs w:val="22"/>
            <w:lang w:eastAsia="lv-LV"/>
          </w:rPr>
          <w:tab/>
        </w:r>
        <w:r w:rsidR="00BD4ED1" w:rsidRPr="000F1B69">
          <w:rPr>
            <w:rStyle w:val="Hyperlink"/>
            <w:noProof/>
          </w:rPr>
          <w:t>Pārskatu sniegšanas kārtība</w:t>
        </w:r>
        <w:r w:rsidR="00BD4ED1">
          <w:rPr>
            <w:noProof/>
            <w:webHidden/>
          </w:rPr>
          <w:tab/>
        </w:r>
        <w:r w:rsidR="00BD4ED1">
          <w:rPr>
            <w:noProof/>
            <w:webHidden/>
          </w:rPr>
          <w:fldChar w:fldCharType="begin"/>
        </w:r>
        <w:r w:rsidR="00BD4ED1">
          <w:rPr>
            <w:noProof/>
            <w:webHidden/>
          </w:rPr>
          <w:instrText xml:space="preserve"> PAGEREF _Toc354732584 \h </w:instrText>
        </w:r>
        <w:r w:rsidR="00BD4ED1">
          <w:rPr>
            <w:noProof/>
            <w:webHidden/>
          </w:rPr>
        </w:r>
        <w:r w:rsidR="00BD4ED1">
          <w:rPr>
            <w:noProof/>
            <w:webHidden/>
          </w:rPr>
          <w:fldChar w:fldCharType="separate"/>
        </w:r>
        <w:r w:rsidR="00BD4ED1">
          <w:rPr>
            <w:noProof/>
            <w:webHidden/>
          </w:rPr>
          <w:t>39</w:t>
        </w:r>
        <w:r w:rsidR="00BD4ED1">
          <w:rPr>
            <w:noProof/>
            <w:webHidden/>
          </w:rPr>
          <w:fldChar w:fldCharType="end"/>
        </w:r>
      </w:hyperlink>
    </w:p>
    <w:p w:rsidR="00BD4ED1" w:rsidRDefault="007337FE">
      <w:pPr>
        <w:pStyle w:val="TOC1"/>
        <w:tabs>
          <w:tab w:val="left" w:pos="1120"/>
        </w:tabs>
        <w:rPr>
          <w:rFonts w:eastAsiaTheme="minorEastAsia" w:cstheme="minorBidi"/>
          <w:b w:val="0"/>
          <w:bCs w:val="0"/>
          <w:caps w:val="0"/>
          <w:noProof/>
          <w:sz w:val="22"/>
          <w:szCs w:val="22"/>
          <w:lang w:eastAsia="lv-LV"/>
        </w:rPr>
      </w:pPr>
      <w:hyperlink w:anchor="_Toc354732585" w:history="1">
        <w:r w:rsidR="00BD4ED1" w:rsidRPr="000F1B69">
          <w:rPr>
            <w:rStyle w:val="Hyperlink"/>
            <w:rFonts w:eastAsia="Calibri"/>
            <w:noProof/>
            <w:lang w:eastAsia="ja-JP"/>
          </w:rPr>
          <w:t>11.</w:t>
        </w:r>
        <w:r w:rsidR="00BD4ED1">
          <w:rPr>
            <w:rFonts w:eastAsiaTheme="minorEastAsia" w:cstheme="minorBidi"/>
            <w:b w:val="0"/>
            <w:bCs w:val="0"/>
            <w:caps w:val="0"/>
            <w:noProof/>
            <w:sz w:val="22"/>
            <w:szCs w:val="22"/>
            <w:lang w:eastAsia="lv-LV"/>
          </w:rPr>
          <w:tab/>
        </w:r>
        <w:r w:rsidR="00BD4ED1" w:rsidRPr="000F1B69">
          <w:rPr>
            <w:rStyle w:val="Hyperlink"/>
            <w:noProof/>
          </w:rPr>
          <w:t>Sasaiste ar citos politikas plānošanas dokumentos</w:t>
        </w:r>
        <w:r w:rsidR="00BD4ED1" w:rsidRPr="000F1B69">
          <w:rPr>
            <w:rStyle w:val="Hyperlink"/>
            <w:rFonts w:eastAsia="Calibri"/>
            <w:noProof/>
            <w:lang w:eastAsia="ja-JP"/>
          </w:rPr>
          <w:t xml:space="preserve"> noteiktajām prioritātēm</w:t>
        </w:r>
        <w:r w:rsidR="00BD4ED1">
          <w:rPr>
            <w:noProof/>
            <w:webHidden/>
          </w:rPr>
          <w:tab/>
        </w:r>
        <w:r w:rsidR="00BD4ED1">
          <w:rPr>
            <w:noProof/>
            <w:webHidden/>
          </w:rPr>
          <w:fldChar w:fldCharType="begin"/>
        </w:r>
        <w:r w:rsidR="00BD4ED1">
          <w:rPr>
            <w:noProof/>
            <w:webHidden/>
          </w:rPr>
          <w:instrText xml:space="preserve"> PAGEREF _Toc354732585 \h </w:instrText>
        </w:r>
        <w:r w:rsidR="00BD4ED1">
          <w:rPr>
            <w:noProof/>
            <w:webHidden/>
          </w:rPr>
        </w:r>
        <w:r w:rsidR="00BD4ED1">
          <w:rPr>
            <w:noProof/>
            <w:webHidden/>
          </w:rPr>
          <w:fldChar w:fldCharType="separate"/>
        </w:r>
        <w:r w:rsidR="00BD4ED1">
          <w:rPr>
            <w:noProof/>
            <w:webHidden/>
          </w:rPr>
          <w:t>39</w:t>
        </w:r>
        <w:r w:rsidR="00BD4ED1">
          <w:rPr>
            <w:noProof/>
            <w:webHidden/>
          </w:rPr>
          <w:fldChar w:fldCharType="end"/>
        </w:r>
      </w:hyperlink>
    </w:p>
    <w:p w:rsidR="003C682C" w:rsidRPr="00E67A0E" w:rsidRDefault="00A53C7A" w:rsidP="003C682C">
      <w:r w:rsidRPr="00E67A0E">
        <w:rPr>
          <w:rFonts w:cs="Times New Roman"/>
          <w:b/>
          <w:bCs/>
          <w:caps/>
          <w:szCs w:val="24"/>
        </w:rPr>
        <w:fldChar w:fldCharType="end"/>
      </w:r>
    </w:p>
    <w:p w:rsidR="009245CF" w:rsidRPr="00E67A0E" w:rsidRDefault="009245CF">
      <w:pPr>
        <w:spacing w:after="200" w:line="276" w:lineRule="auto"/>
        <w:ind w:firstLine="0"/>
        <w:jc w:val="left"/>
      </w:pPr>
      <w:r w:rsidRPr="00E67A0E">
        <w:br w:type="page"/>
      </w:r>
    </w:p>
    <w:p w:rsidR="0031568E" w:rsidRPr="004F030D" w:rsidRDefault="0031568E" w:rsidP="00B35A12">
      <w:pPr>
        <w:pStyle w:val="Heading1"/>
        <w:numPr>
          <w:ilvl w:val="0"/>
          <w:numId w:val="0"/>
        </w:numPr>
        <w:ind w:left="720"/>
      </w:pPr>
      <w:bookmarkStart w:id="0" w:name="_Toc354732556"/>
      <w:bookmarkStart w:id="1" w:name="_Toc341951811"/>
      <w:r w:rsidRPr="004F030D">
        <w:lastRenderedPageBreak/>
        <w:t>Lietoto saīsinājumu skaidrojums</w:t>
      </w:r>
      <w:bookmarkEnd w:id="0"/>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174"/>
      </w:tblGrid>
      <w:tr w:rsidR="00831E5B" w:rsidRPr="00ED367D" w:rsidTr="00BF7335">
        <w:trPr>
          <w:trHeight w:val="327"/>
        </w:trPr>
        <w:tc>
          <w:tcPr>
            <w:tcW w:w="1985" w:type="dxa"/>
          </w:tcPr>
          <w:p w:rsidR="00831E5B" w:rsidRPr="00ED367D" w:rsidRDefault="00831E5B" w:rsidP="00BB43AE">
            <w:pPr>
              <w:ind w:firstLine="0"/>
            </w:pPr>
            <w:r w:rsidRPr="00ED367D">
              <w:t>AER</w:t>
            </w:r>
          </w:p>
        </w:tc>
        <w:tc>
          <w:tcPr>
            <w:tcW w:w="7174" w:type="dxa"/>
          </w:tcPr>
          <w:p w:rsidR="00831E5B" w:rsidRPr="00ED367D" w:rsidRDefault="00831E5B" w:rsidP="00BB43AE">
            <w:pPr>
              <w:ind w:firstLine="0"/>
            </w:pPr>
            <w:r w:rsidRPr="00ED367D">
              <w:t>Atjaunojamie energoresursi</w:t>
            </w:r>
          </w:p>
        </w:tc>
      </w:tr>
      <w:tr w:rsidR="00831E5B" w:rsidRPr="00ED367D" w:rsidTr="00BF7335">
        <w:trPr>
          <w:trHeight w:val="327"/>
        </w:trPr>
        <w:tc>
          <w:tcPr>
            <w:tcW w:w="1985" w:type="dxa"/>
          </w:tcPr>
          <w:p w:rsidR="00831E5B" w:rsidRPr="00ED367D" w:rsidRDefault="00831E5B" w:rsidP="00BB43AE">
            <w:pPr>
              <w:ind w:firstLine="0"/>
            </w:pPr>
            <w:r w:rsidRPr="00ED367D">
              <w:t>ĀTI</w:t>
            </w:r>
          </w:p>
        </w:tc>
        <w:tc>
          <w:tcPr>
            <w:tcW w:w="7174" w:type="dxa"/>
          </w:tcPr>
          <w:p w:rsidR="00831E5B" w:rsidRPr="00ED367D" w:rsidRDefault="00831E5B" w:rsidP="00BB43AE">
            <w:pPr>
              <w:ind w:firstLine="0"/>
            </w:pPr>
            <w:r w:rsidRPr="00ED367D">
              <w:t>Ārvalstu tiešās investīcijas</w:t>
            </w:r>
          </w:p>
        </w:tc>
      </w:tr>
      <w:tr w:rsidR="00831E5B" w:rsidRPr="00ED367D" w:rsidTr="00BF7335">
        <w:trPr>
          <w:trHeight w:val="327"/>
        </w:trPr>
        <w:tc>
          <w:tcPr>
            <w:tcW w:w="1985" w:type="dxa"/>
          </w:tcPr>
          <w:p w:rsidR="00831E5B" w:rsidRPr="00ED367D" w:rsidRDefault="00831E5B" w:rsidP="00BB43AE">
            <w:pPr>
              <w:ind w:firstLine="0"/>
            </w:pPr>
            <w:r w:rsidRPr="00ED367D">
              <w:t>EK</w:t>
            </w:r>
          </w:p>
        </w:tc>
        <w:tc>
          <w:tcPr>
            <w:tcW w:w="7174" w:type="dxa"/>
          </w:tcPr>
          <w:p w:rsidR="00831E5B" w:rsidRPr="00ED367D" w:rsidRDefault="00831E5B" w:rsidP="00BB43AE">
            <w:pPr>
              <w:ind w:firstLine="0"/>
            </w:pPr>
            <w:r w:rsidRPr="00ED367D">
              <w:t>Eiropas Komisija</w:t>
            </w:r>
          </w:p>
        </w:tc>
      </w:tr>
      <w:tr w:rsidR="00831E5B" w:rsidRPr="00ED367D" w:rsidTr="00BF7335">
        <w:trPr>
          <w:trHeight w:val="307"/>
        </w:trPr>
        <w:tc>
          <w:tcPr>
            <w:tcW w:w="1985" w:type="dxa"/>
          </w:tcPr>
          <w:p w:rsidR="00831E5B" w:rsidRPr="00ED367D" w:rsidRDefault="00831E5B" w:rsidP="00BB43AE">
            <w:pPr>
              <w:ind w:firstLine="0"/>
            </w:pPr>
            <w:r w:rsidRPr="00ED367D">
              <w:t>ES</w:t>
            </w:r>
          </w:p>
        </w:tc>
        <w:tc>
          <w:tcPr>
            <w:tcW w:w="7174" w:type="dxa"/>
          </w:tcPr>
          <w:p w:rsidR="00831E5B" w:rsidRPr="00ED367D" w:rsidRDefault="00831E5B" w:rsidP="00BB43AE">
            <w:pPr>
              <w:ind w:firstLine="0"/>
            </w:pPr>
            <w:r w:rsidRPr="00ED367D">
              <w:t>Eiropas savienība</w:t>
            </w:r>
          </w:p>
        </w:tc>
      </w:tr>
      <w:tr w:rsidR="00831E5B" w:rsidRPr="00ED367D" w:rsidTr="00BF7335">
        <w:trPr>
          <w:trHeight w:val="327"/>
        </w:trPr>
        <w:tc>
          <w:tcPr>
            <w:tcW w:w="1985" w:type="dxa"/>
          </w:tcPr>
          <w:p w:rsidR="00831E5B" w:rsidRPr="00ED367D" w:rsidRDefault="00831E5B" w:rsidP="00BB43AE">
            <w:pPr>
              <w:ind w:firstLine="0"/>
            </w:pPr>
            <w:r w:rsidRPr="00ED367D">
              <w:t>EUROSTAT</w:t>
            </w:r>
          </w:p>
        </w:tc>
        <w:tc>
          <w:tcPr>
            <w:tcW w:w="7174" w:type="dxa"/>
          </w:tcPr>
          <w:p w:rsidR="00831E5B" w:rsidRPr="00ED367D" w:rsidRDefault="00831E5B" w:rsidP="00BB43AE">
            <w:pPr>
              <w:ind w:firstLine="0"/>
            </w:pPr>
            <w:r w:rsidRPr="00ED367D">
              <w:t>Eiropas statistikas birojs</w:t>
            </w:r>
          </w:p>
        </w:tc>
      </w:tr>
      <w:tr w:rsidR="00831E5B" w:rsidRPr="00ED367D" w:rsidTr="00BF7335">
        <w:trPr>
          <w:trHeight w:val="327"/>
        </w:trPr>
        <w:tc>
          <w:tcPr>
            <w:tcW w:w="1985" w:type="dxa"/>
          </w:tcPr>
          <w:p w:rsidR="00831E5B" w:rsidRPr="00ED367D" w:rsidRDefault="00831E5B" w:rsidP="00BB43AE">
            <w:pPr>
              <w:ind w:firstLine="0"/>
            </w:pPr>
            <w:r w:rsidRPr="00ED367D">
              <w:t>IKP</w:t>
            </w:r>
          </w:p>
        </w:tc>
        <w:tc>
          <w:tcPr>
            <w:tcW w:w="7174" w:type="dxa"/>
          </w:tcPr>
          <w:p w:rsidR="00831E5B" w:rsidRPr="00ED367D" w:rsidRDefault="00831E5B" w:rsidP="00BB43AE">
            <w:pPr>
              <w:ind w:firstLine="0"/>
            </w:pPr>
            <w:r w:rsidRPr="00ED367D">
              <w:t>Iekšzemes kopprodukts</w:t>
            </w:r>
          </w:p>
        </w:tc>
      </w:tr>
      <w:tr w:rsidR="00831E5B" w:rsidRPr="00ED367D" w:rsidTr="00BF7335">
        <w:trPr>
          <w:trHeight w:val="327"/>
        </w:trPr>
        <w:tc>
          <w:tcPr>
            <w:tcW w:w="1985" w:type="dxa"/>
          </w:tcPr>
          <w:p w:rsidR="00831E5B" w:rsidRPr="00ED367D" w:rsidRDefault="00831E5B" w:rsidP="00BB43AE">
            <w:pPr>
              <w:ind w:firstLine="0"/>
            </w:pPr>
            <w:r w:rsidRPr="00ED367D">
              <w:t>IT</w:t>
            </w:r>
          </w:p>
        </w:tc>
        <w:tc>
          <w:tcPr>
            <w:tcW w:w="7174" w:type="dxa"/>
          </w:tcPr>
          <w:p w:rsidR="00831E5B" w:rsidRPr="00ED367D" w:rsidRDefault="00831E5B" w:rsidP="00BB43AE">
            <w:pPr>
              <w:ind w:firstLine="0"/>
            </w:pPr>
            <w:r w:rsidRPr="00ED367D">
              <w:t>Informācijas un tehnoloģiju nozare</w:t>
            </w:r>
          </w:p>
        </w:tc>
      </w:tr>
      <w:tr w:rsidR="00831E5B" w:rsidRPr="00ED367D" w:rsidTr="00BF7335">
        <w:trPr>
          <w:trHeight w:val="327"/>
        </w:trPr>
        <w:tc>
          <w:tcPr>
            <w:tcW w:w="1985" w:type="dxa"/>
          </w:tcPr>
          <w:p w:rsidR="00831E5B" w:rsidRPr="00ED367D" w:rsidRDefault="00831E5B" w:rsidP="00BB43AE">
            <w:pPr>
              <w:ind w:firstLine="0"/>
            </w:pPr>
            <w:r w:rsidRPr="00ED367D">
              <w:t>LIAA</w:t>
            </w:r>
          </w:p>
        </w:tc>
        <w:tc>
          <w:tcPr>
            <w:tcW w:w="7174" w:type="dxa"/>
          </w:tcPr>
          <w:p w:rsidR="00831E5B" w:rsidRPr="00ED367D" w:rsidRDefault="00831E5B" w:rsidP="00BB43AE">
            <w:pPr>
              <w:ind w:firstLine="0"/>
            </w:pPr>
            <w:r w:rsidRPr="00ED367D">
              <w:t>Latvijas investīciju un attīstības aģentūra</w:t>
            </w:r>
          </w:p>
        </w:tc>
      </w:tr>
      <w:tr w:rsidR="00831E5B" w:rsidRPr="00ED367D" w:rsidTr="00BF7335">
        <w:trPr>
          <w:trHeight w:val="327"/>
        </w:trPr>
        <w:tc>
          <w:tcPr>
            <w:tcW w:w="1985" w:type="dxa"/>
          </w:tcPr>
          <w:p w:rsidR="00831E5B" w:rsidRPr="00ED367D" w:rsidRDefault="00831E5B" w:rsidP="00BB43AE">
            <w:pPr>
              <w:ind w:firstLine="0"/>
            </w:pPr>
            <w:r w:rsidRPr="00ED367D">
              <w:t>NIP</w:t>
            </w:r>
          </w:p>
        </w:tc>
        <w:tc>
          <w:tcPr>
            <w:tcW w:w="7174" w:type="dxa"/>
          </w:tcPr>
          <w:p w:rsidR="00831E5B" w:rsidRPr="00ED367D" w:rsidRDefault="00831E5B" w:rsidP="00BB43AE">
            <w:pPr>
              <w:ind w:firstLine="0"/>
            </w:pPr>
            <w:r w:rsidRPr="00ED367D">
              <w:t>Nacionālā industriālā politika</w:t>
            </w:r>
          </w:p>
        </w:tc>
      </w:tr>
      <w:tr w:rsidR="00831E5B" w:rsidRPr="00ED367D" w:rsidTr="00BF7335">
        <w:trPr>
          <w:trHeight w:val="327"/>
        </w:trPr>
        <w:tc>
          <w:tcPr>
            <w:tcW w:w="1985" w:type="dxa"/>
          </w:tcPr>
          <w:p w:rsidR="00831E5B" w:rsidRPr="00ED367D" w:rsidRDefault="00831E5B" w:rsidP="00BB43AE">
            <w:pPr>
              <w:ind w:firstLine="0"/>
            </w:pPr>
            <w:r w:rsidRPr="00ED367D">
              <w:t>NVA</w:t>
            </w:r>
          </w:p>
        </w:tc>
        <w:tc>
          <w:tcPr>
            <w:tcW w:w="7174" w:type="dxa"/>
          </w:tcPr>
          <w:p w:rsidR="00831E5B" w:rsidRPr="00ED367D" w:rsidRDefault="00831E5B" w:rsidP="00BB43AE">
            <w:pPr>
              <w:ind w:firstLine="0"/>
            </w:pPr>
            <w:r w:rsidRPr="00ED367D">
              <w:t>Nodarbinātības valsts aģentūra</w:t>
            </w:r>
          </w:p>
        </w:tc>
      </w:tr>
      <w:tr w:rsidR="00831E5B" w:rsidRPr="00ED367D" w:rsidTr="00BF7335">
        <w:trPr>
          <w:trHeight w:val="327"/>
        </w:trPr>
        <w:tc>
          <w:tcPr>
            <w:tcW w:w="1985" w:type="dxa"/>
          </w:tcPr>
          <w:p w:rsidR="00831E5B" w:rsidRPr="00ED367D" w:rsidRDefault="00831E5B" w:rsidP="00BB43AE">
            <w:pPr>
              <w:ind w:firstLine="0"/>
            </w:pPr>
            <w:r w:rsidRPr="00ED367D">
              <w:t>NVS</w:t>
            </w:r>
          </w:p>
        </w:tc>
        <w:tc>
          <w:tcPr>
            <w:tcW w:w="7174" w:type="dxa"/>
          </w:tcPr>
          <w:p w:rsidR="00831E5B" w:rsidRPr="00ED367D" w:rsidRDefault="00831E5B" w:rsidP="00BB43AE">
            <w:pPr>
              <w:ind w:firstLine="0"/>
            </w:pPr>
            <w:r w:rsidRPr="00ED367D">
              <w:t>Neatkarīgo valstu savienība</w:t>
            </w:r>
          </w:p>
        </w:tc>
      </w:tr>
      <w:tr w:rsidR="00831E5B" w:rsidRPr="00ED367D" w:rsidTr="00BF7335">
        <w:trPr>
          <w:trHeight w:val="327"/>
        </w:trPr>
        <w:tc>
          <w:tcPr>
            <w:tcW w:w="1985" w:type="dxa"/>
          </w:tcPr>
          <w:p w:rsidR="00831E5B" w:rsidRPr="00ED367D" w:rsidRDefault="00831E5B" w:rsidP="00BB43AE">
            <w:pPr>
              <w:ind w:firstLine="0"/>
            </w:pPr>
            <w:r w:rsidRPr="00ED367D">
              <w:t>OECD</w:t>
            </w:r>
          </w:p>
        </w:tc>
        <w:tc>
          <w:tcPr>
            <w:tcW w:w="7174" w:type="dxa"/>
          </w:tcPr>
          <w:p w:rsidR="00831E5B" w:rsidRPr="00ED367D" w:rsidRDefault="00831E5B" w:rsidP="00831E5B">
            <w:pPr>
              <w:ind w:firstLine="0"/>
            </w:pPr>
            <w:r w:rsidRPr="00ED367D">
              <w:t>Ekonomiskās sadarbības un attīstības organizācija (</w:t>
            </w:r>
            <w:r w:rsidRPr="00ED367D">
              <w:rPr>
                <w:i/>
              </w:rPr>
              <w:t>Organisation for Economical Cooperation and Development</w:t>
            </w:r>
            <w:r w:rsidRPr="00ED367D">
              <w:t>)</w:t>
            </w:r>
          </w:p>
        </w:tc>
      </w:tr>
      <w:tr w:rsidR="00831E5B" w:rsidRPr="00ED367D" w:rsidTr="00BF7335">
        <w:trPr>
          <w:trHeight w:val="327"/>
        </w:trPr>
        <w:tc>
          <w:tcPr>
            <w:tcW w:w="1985" w:type="dxa"/>
          </w:tcPr>
          <w:p w:rsidR="00831E5B" w:rsidRPr="00ED367D" w:rsidRDefault="00831E5B" w:rsidP="00BB43AE">
            <w:pPr>
              <w:ind w:firstLine="0"/>
            </w:pPr>
            <w:r w:rsidRPr="00ED367D">
              <w:t>P&amp;A</w:t>
            </w:r>
          </w:p>
        </w:tc>
        <w:tc>
          <w:tcPr>
            <w:tcW w:w="7174" w:type="dxa"/>
          </w:tcPr>
          <w:p w:rsidR="00831E5B" w:rsidRPr="00ED367D" w:rsidRDefault="00831E5B" w:rsidP="00BB43AE">
            <w:pPr>
              <w:ind w:firstLine="0"/>
            </w:pPr>
            <w:r w:rsidRPr="00ED367D">
              <w:t>Pētniecība un attīstība</w:t>
            </w:r>
          </w:p>
        </w:tc>
      </w:tr>
      <w:tr w:rsidR="00831E5B" w:rsidRPr="00ED367D" w:rsidTr="00BF7335">
        <w:trPr>
          <w:trHeight w:val="327"/>
        </w:trPr>
        <w:tc>
          <w:tcPr>
            <w:tcW w:w="1985" w:type="dxa"/>
          </w:tcPr>
          <w:p w:rsidR="00831E5B" w:rsidRPr="00ED367D" w:rsidRDefault="00831E5B" w:rsidP="00BB43AE">
            <w:pPr>
              <w:ind w:firstLine="0"/>
            </w:pPr>
            <w:r w:rsidRPr="00ED367D">
              <w:t>STEM</w:t>
            </w:r>
          </w:p>
        </w:tc>
        <w:tc>
          <w:tcPr>
            <w:tcW w:w="7174" w:type="dxa"/>
          </w:tcPr>
          <w:p w:rsidR="00831E5B" w:rsidRPr="00ED367D" w:rsidRDefault="00831E5B" w:rsidP="00BB43AE">
            <w:pPr>
              <w:ind w:firstLine="0"/>
            </w:pPr>
            <w:r w:rsidRPr="00ED367D">
              <w:t>Matemātikas, dabaszinātņu un tehnoloģiju mācību priekšmeti  (</w:t>
            </w:r>
            <w:r w:rsidRPr="00ED367D">
              <w:rPr>
                <w:i/>
                <w:lang w:eastAsia="ja-JP"/>
              </w:rPr>
              <w:t>science, technology, engineering, mathematics</w:t>
            </w:r>
            <w:r w:rsidRPr="00ED367D">
              <w:t>)</w:t>
            </w:r>
          </w:p>
        </w:tc>
      </w:tr>
      <w:tr w:rsidR="00831E5B" w:rsidRPr="00ED367D" w:rsidTr="00BF7335">
        <w:trPr>
          <w:trHeight w:val="327"/>
        </w:trPr>
        <w:tc>
          <w:tcPr>
            <w:tcW w:w="1985" w:type="dxa"/>
          </w:tcPr>
          <w:p w:rsidR="00831E5B" w:rsidRPr="00ED367D" w:rsidRDefault="00831E5B" w:rsidP="00BB43AE">
            <w:pPr>
              <w:ind w:firstLine="0"/>
            </w:pPr>
            <w:r w:rsidRPr="00ED367D">
              <w:t>SVID</w:t>
            </w:r>
          </w:p>
        </w:tc>
        <w:tc>
          <w:tcPr>
            <w:tcW w:w="7174" w:type="dxa"/>
          </w:tcPr>
          <w:p w:rsidR="00831E5B" w:rsidRPr="00ED367D" w:rsidRDefault="00831E5B" w:rsidP="00BB43AE">
            <w:pPr>
              <w:ind w:firstLine="0"/>
            </w:pPr>
            <w:r w:rsidRPr="00ED367D">
              <w:t>Stipru un vājo pušu, iespēju un draudu analīze</w:t>
            </w:r>
          </w:p>
        </w:tc>
      </w:tr>
      <w:tr w:rsidR="00831E5B" w:rsidRPr="00ED367D" w:rsidTr="00BF7335">
        <w:trPr>
          <w:trHeight w:val="327"/>
        </w:trPr>
        <w:tc>
          <w:tcPr>
            <w:tcW w:w="1985" w:type="dxa"/>
          </w:tcPr>
          <w:p w:rsidR="00831E5B" w:rsidRPr="00ED367D" w:rsidRDefault="00831E5B" w:rsidP="00BB43AE">
            <w:pPr>
              <w:ind w:firstLine="0"/>
            </w:pPr>
            <w:r w:rsidRPr="00ED367D">
              <w:t>UIN</w:t>
            </w:r>
          </w:p>
        </w:tc>
        <w:tc>
          <w:tcPr>
            <w:tcW w:w="7174" w:type="dxa"/>
          </w:tcPr>
          <w:p w:rsidR="00831E5B" w:rsidRPr="00ED367D" w:rsidRDefault="00831E5B" w:rsidP="00BB43AE">
            <w:pPr>
              <w:ind w:firstLine="0"/>
            </w:pPr>
            <w:r w:rsidRPr="00ED367D">
              <w:t>Uzņēmumu ienākuma nodoklis</w:t>
            </w:r>
          </w:p>
        </w:tc>
      </w:tr>
      <w:tr w:rsidR="00831E5B" w:rsidRPr="00ED367D" w:rsidTr="00BF7335">
        <w:trPr>
          <w:trHeight w:val="327"/>
        </w:trPr>
        <w:tc>
          <w:tcPr>
            <w:tcW w:w="1985" w:type="dxa"/>
          </w:tcPr>
          <w:p w:rsidR="00831E5B" w:rsidRPr="00ED367D" w:rsidRDefault="00831E5B" w:rsidP="00BB43AE">
            <w:pPr>
              <w:ind w:firstLine="0"/>
            </w:pPr>
            <w:r w:rsidRPr="00ED367D">
              <w:t>VARAM</w:t>
            </w:r>
          </w:p>
        </w:tc>
        <w:tc>
          <w:tcPr>
            <w:tcW w:w="7174" w:type="dxa"/>
          </w:tcPr>
          <w:p w:rsidR="00831E5B" w:rsidRPr="00ED367D" w:rsidRDefault="00831E5B" w:rsidP="00BB43AE">
            <w:pPr>
              <w:ind w:firstLine="0"/>
            </w:pPr>
            <w:r w:rsidRPr="00ED367D">
              <w:t>Vides aizsardzības un reģionālās attīstības ministrija</w:t>
            </w:r>
          </w:p>
        </w:tc>
      </w:tr>
    </w:tbl>
    <w:p w:rsidR="00831E5B" w:rsidRDefault="00831E5B" w:rsidP="00BB43AE">
      <w:pPr>
        <w:ind w:left="993" w:hanging="993"/>
        <w:rPr>
          <w:b/>
        </w:rPr>
      </w:pPr>
    </w:p>
    <w:p w:rsidR="00E40871" w:rsidRPr="004F030D" w:rsidRDefault="00E40871" w:rsidP="00E40871">
      <w:pPr>
        <w:pStyle w:val="Heading1"/>
        <w:numPr>
          <w:ilvl w:val="0"/>
          <w:numId w:val="0"/>
        </w:numPr>
        <w:ind w:left="720"/>
      </w:pPr>
      <w:bookmarkStart w:id="2" w:name="_Toc354732557"/>
      <w:r w:rsidRPr="004F030D">
        <w:t>Lietoto jēdzienu skaidrojums</w:t>
      </w:r>
      <w:bookmarkEnd w:id="2"/>
    </w:p>
    <w:p w:rsidR="00E40871" w:rsidRPr="004F030D" w:rsidRDefault="00E40871" w:rsidP="00745287">
      <w:pPr>
        <w:tabs>
          <w:tab w:val="left" w:pos="1985"/>
        </w:tabs>
        <w:ind w:left="284" w:hanging="284"/>
        <w:rPr>
          <w:b/>
        </w:rPr>
      </w:pPr>
      <w:r w:rsidRPr="004F030D">
        <w:rPr>
          <w:b/>
        </w:rPr>
        <w:t xml:space="preserve">Ienesīgums – </w:t>
      </w:r>
      <w:r w:rsidR="00CE3214" w:rsidRPr="00ED367D">
        <w:t>kopēj</w:t>
      </w:r>
      <w:r w:rsidR="00BF7335" w:rsidRPr="00ED367D">
        <w:t>o</w:t>
      </w:r>
      <w:r w:rsidR="00CE3214" w:rsidRPr="00ED367D">
        <w:t xml:space="preserve"> ienākumu summa (valsts, uzņēmēju un nodarbināto), kas ir saistīta ar ekonomiskām aktivitātēm valstī</w:t>
      </w:r>
      <w:r w:rsidR="0048366B" w:rsidRPr="00ED367D">
        <w:t xml:space="preserve"> vai</w:t>
      </w:r>
      <w:r w:rsidR="00CE3214" w:rsidRPr="00ED367D">
        <w:t xml:space="preserve"> nozarē rēķināt</w:t>
      </w:r>
      <w:r w:rsidR="0048366B" w:rsidRPr="00ED367D">
        <w:t>a</w:t>
      </w:r>
      <w:r w:rsidR="00CE3214" w:rsidRPr="00ED367D">
        <w:t xml:space="preserve"> uz vienu nodarbināto. Kopējos ienākumus veido darba algas, nodokļi un peļņa kopā ar amortizāciju. Šādi tiek aprēķināta pievienotā vērtība jeb IKP no ienākumu puses. Tas ir ienesīguma jēdziens no makroekonomikas (visas sabiedrības) viedokļa. Uz šo pieeju balstās H-K metodoloģija produktu telpas izvērtēšanā. Būtiski ir nošķirt</w:t>
      </w:r>
      <w:r w:rsidR="0048366B" w:rsidRPr="00ED367D">
        <w:t xml:space="preserve"> atšķirības, kādas eksistē starp makroekonomisko definīciju un mikroekonomisko definīciju. Tā </w:t>
      </w:r>
      <w:r w:rsidR="00CE3214" w:rsidRPr="00ED367D">
        <w:t xml:space="preserve">no mikroekonomikas viedokļa </w:t>
      </w:r>
      <w:r w:rsidR="00CE3214" w:rsidRPr="00ED367D">
        <w:rPr>
          <w:rFonts w:cs="Times New Roman"/>
        </w:rPr>
        <w:t>ienesīgums tiek aplūkots no uzņēmēju viedokļa, kur ienesīgums ir saistīts tikai ar atdevi (</w:t>
      </w:r>
      <w:r w:rsidR="00CE3214" w:rsidRPr="00ED367D">
        <w:rPr>
          <w:rFonts w:cs="Times New Roman"/>
          <w:i/>
        </w:rPr>
        <w:t>rate of return</w:t>
      </w:r>
      <w:r w:rsidR="00CE3214" w:rsidRPr="00ED367D">
        <w:rPr>
          <w:rFonts w:cs="Times New Roman"/>
        </w:rPr>
        <w:t>) no izdevumiem. Šajā gadījumā algas, nodokļi un amortizācija ir nevis ienākumi, bet izdevumi</w:t>
      </w:r>
    </w:p>
    <w:p w:rsidR="00E40871" w:rsidRPr="004F030D" w:rsidRDefault="00E40871" w:rsidP="00745287">
      <w:pPr>
        <w:ind w:left="284" w:hanging="284"/>
        <w:rPr>
          <w:b/>
        </w:rPr>
      </w:pPr>
      <w:r w:rsidRPr="004F030D">
        <w:rPr>
          <w:b/>
        </w:rPr>
        <w:t>Produktivitāte (</w:t>
      </w:r>
      <w:r w:rsidRPr="004F030D">
        <w:rPr>
          <w:b/>
          <w:i/>
        </w:rPr>
        <w:t>labour productivity</w:t>
      </w:r>
      <w:r w:rsidRPr="004F030D">
        <w:rPr>
          <w:b/>
        </w:rPr>
        <w:t xml:space="preserve">) – </w:t>
      </w:r>
      <w:r w:rsidRPr="00ED367D">
        <w:t>ekonomiskajā literatūrā izšķir vairākus produktivitātes veidu un to aprēķināšanas formulas. NIP ietvaros tiek izmantota darba spēka produktivitāte (</w:t>
      </w:r>
      <w:r w:rsidRPr="00ED367D">
        <w:rPr>
          <w:i/>
        </w:rPr>
        <w:t>labour productivity</w:t>
      </w:r>
      <w:r w:rsidRPr="00ED367D">
        <w:t xml:space="preserve">), kuru vispārējā ekonomiskā teorijā aprēķina kā </w:t>
      </w:r>
      <w:r w:rsidRPr="00ED367D">
        <w:rPr>
          <w:rFonts w:cs="Times New Roman"/>
        </w:rPr>
        <w:t>IKP</w:t>
      </w:r>
      <w:r w:rsidR="00CE3214" w:rsidRPr="00ED367D">
        <w:rPr>
          <w:rFonts w:cs="Times New Roman"/>
        </w:rPr>
        <w:t xml:space="preserve"> </w:t>
      </w:r>
      <w:r w:rsidRPr="00ED367D">
        <w:rPr>
          <w:rFonts w:cs="Times New Roman"/>
        </w:rPr>
        <w:t xml:space="preserve">attiecinātu uz vienu tautsaimniecībā nodarbināto vai arī kādas tautsaimniecības nozares pievienoto vērtību </w:t>
      </w:r>
      <w:r w:rsidR="0048366B" w:rsidRPr="00ED367D">
        <w:rPr>
          <w:rFonts w:cs="Times New Roman"/>
        </w:rPr>
        <w:t xml:space="preserve">attiecinot </w:t>
      </w:r>
      <w:r w:rsidRPr="00ED367D">
        <w:rPr>
          <w:rFonts w:cs="Times New Roman"/>
        </w:rPr>
        <w:t xml:space="preserve">uz vienu nodarbināto konkrētā nozarē noteiktā laikā (gads, stunda). </w:t>
      </w:r>
      <w:r w:rsidR="00CE3214" w:rsidRPr="00ED367D">
        <w:rPr>
          <w:rFonts w:cs="Times New Roman"/>
        </w:rPr>
        <w:t xml:space="preserve"> Produktivitātes līmeņu raksturošanai / salīdzināšanai (starp valstīm, nozarēm) izmanto pievienoto vērtību faktiskajās cenās. Bez tam tiek izmantoti arī </w:t>
      </w:r>
      <w:r w:rsidR="00CE3214" w:rsidRPr="00ED367D">
        <w:rPr>
          <w:rFonts w:cs="Times New Roman"/>
        </w:rPr>
        <w:lastRenderedPageBreak/>
        <w:t>paritātes rēķini, lai novērstu cenu līmeņu atšķirības starp valstīm). Savukārt dinamikas raksturošanai izmanto pievienoto vērtību salīdzināmās cenās.</w:t>
      </w:r>
    </w:p>
    <w:p w:rsidR="00ED367D" w:rsidRDefault="00CE3214" w:rsidP="00745287">
      <w:pPr>
        <w:ind w:left="284" w:hanging="284"/>
        <w:rPr>
          <w:rFonts w:cs="Times New Roman"/>
          <w:b/>
        </w:rPr>
      </w:pPr>
      <w:r w:rsidRPr="004F030D">
        <w:rPr>
          <w:b/>
        </w:rPr>
        <w:t>Produkti ar augstu pievienoto vērtību</w:t>
      </w:r>
      <w:r w:rsidRPr="004F030D">
        <w:rPr>
          <w:rFonts w:cs="Times New Roman"/>
          <w:b/>
        </w:rPr>
        <w:t xml:space="preserve"> – </w:t>
      </w:r>
      <w:r w:rsidRPr="00ED367D">
        <w:rPr>
          <w:rFonts w:cs="Times New Roman"/>
        </w:rPr>
        <w:t>produkti, kuru ražošanas pievienotā vērtība noteiktā laikā (gadā, stundā) uz vienu nodarbināto ir augstāka nekā vidēji tautsaimniecībā, tātad ir lielāki kopējie ienākumi un augstāka to produktivitāte</w:t>
      </w:r>
    </w:p>
    <w:p w:rsidR="002669D4" w:rsidRDefault="002669D4" w:rsidP="002669D4">
      <w:pPr>
        <w:spacing w:line="276" w:lineRule="auto"/>
        <w:ind w:left="284" w:hanging="284"/>
      </w:pPr>
      <w:r>
        <w:rPr>
          <w:b/>
        </w:rPr>
        <w:t xml:space="preserve">Inovācija – </w:t>
      </w:r>
      <w:r>
        <w:t>zinātniskās, tehniskās, sociālās, kultūras vai citas jomas ideju, izstrādņu un tehnoloģiju īstenošana jaunā produktā, pakalpojumā vai procesā</w:t>
      </w:r>
    </w:p>
    <w:p w:rsidR="002669D4" w:rsidRDefault="002669D4" w:rsidP="002669D4">
      <w:pPr>
        <w:spacing w:line="276" w:lineRule="auto"/>
        <w:ind w:left="284" w:hanging="284"/>
      </w:pPr>
      <w:r w:rsidRPr="00207E9B">
        <w:rPr>
          <w:b/>
        </w:rPr>
        <w:t>Ne-tehnoloģiskā inovācija</w:t>
      </w:r>
      <w:r>
        <w:t xml:space="preserve"> –organizatoriskā un tirgvedības inovācija. Organizatoriskā inovācija  ir jaunu organizatorisku  metodes ieviešana uzņēmumu praksē, darba vietas organizācijā vai ārējās attiecībās. Savukārt tirgvedības inovācija ir jaunas tirgdarbības metodes ieviešanu, kas saistīta ar būtiskām produkta noformējuma vai iepakojuma, produkta izvietošanas, produkta reklamēšanas vai cenu noteikšanas izmaiņām.</w:t>
      </w:r>
    </w:p>
    <w:p w:rsidR="002669D4" w:rsidRDefault="002669D4" w:rsidP="002669D4">
      <w:pPr>
        <w:spacing w:line="276" w:lineRule="auto"/>
        <w:ind w:left="284" w:hanging="284"/>
      </w:pPr>
      <w:r>
        <w:rPr>
          <w:b/>
        </w:rPr>
        <w:t xml:space="preserve">Tehnoloģiskā inovācija </w:t>
      </w:r>
      <w:r>
        <w:t>– produktu un procesu inovācija.</w:t>
      </w:r>
    </w:p>
    <w:p w:rsidR="0031568E" w:rsidRPr="004F030D" w:rsidRDefault="0031568E" w:rsidP="00ED367D">
      <w:pPr>
        <w:spacing w:line="276" w:lineRule="auto"/>
        <w:ind w:left="284" w:hanging="284"/>
        <w:rPr>
          <w:b/>
        </w:rPr>
      </w:pPr>
      <w:r w:rsidRPr="004F030D">
        <w:rPr>
          <w:b/>
        </w:rPr>
        <w:br w:type="page"/>
      </w:r>
    </w:p>
    <w:p w:rsidR="004A517D" w:rsidRPr="00E67A0E" w:rsidRDefault="004A517D" w:rsidP="00B35A12">
      <w:pPr>
        <w:pStyle w:val="Heading1"/>
        <w:numPr>
          <w:ilvl w:val="0"/>
          <w:numId w:val="0"/>
        </w:numPr>
        <w:ind w:left="720"/>
      </w:pPr>
      <w:bookmarkStart w:id="3" w:name="_Toc354732558"/>
      <w:r w:rsidRPr="00E67A0E">
        <w:lastRenderedPageBreak/>
        <w:t>Ievads</w:t>
      </w:r>
      <w:bookmarkEnd w:id="1"/>
      <w:bookmarkEnd w:id="3"/>
    </w:p>
    <w:p w:rsidR="006806E9" w:rsidRDefault="006806E9" w:rsidP="006806E9">
      <w:pPr>
        <w:ind w:firstLine="567"/>
        <w:rPr>
          <w:rFonts w:cs="Times New Roman"/>
        </w:rPr>
      </w:pPr>
      <w:r w:rsidRPr="00E67A0E">
        <w:rPr>
          <w:rFonts w:cs="Times New Roman"/>
        </w:rPr>
        <w:t>Latvijas ekonomikā ir notikušas nozīmīgas makroekonomiskās korekcijas. Ir beidzis pastāvēt ekonomiskais modelis, kurā ārējā kapitāla pieplūduma dēļ strauji palielinājās iekšējais pieprasījums, kas bija izaugsmes galvenais virzītājspēks. Šāds modelis nebija ilgtspējīgs, jo noveda ekonomiku pie dziļas krīzes izteikto makroekonomisko disproporciju dēļ (augsta inflācija, liels maksājumu bilances tekošā konta deficīts u.c.).</w:t>
      </w:r>
    </w:p>
    <w:p w:rsidR="00931E20" w:rsidRPr="00ED367D" w:rsidRDefault="00C302ED" w:rsidP="006806E9">
      <w:pPr>
        <w:ind w:firstLine="567"/>
        <w:rPr>
          <w:rFonts w:cs="Times New Roman"/>
          <w:bCs/>
          <w:iCs/>
        </w:rPr>
      </w:pPr>
      <w:r>
        <w:t xml:space="preserve">Pēc starptautiskās klasifikācijas Latvija ir valsts, kas nav vairs tīri attīstības valsts, bet arī nav </w:t>
      </w:r>
      <w:r w:rsidRPr="00ED367D">
        <w:t>attīstītā valsts. Respektīvi tiek zaudētas konkurētspējas priekšrocības, kas raksturīgas attīstības valstīm – lēta resursu priekšrocību izmantošana, bet vēl nav izveidojies tas potenciāls, lai pilnībā balstītos uz tām salīdzinošajām priekšrocībām, kas ir augsti attīstītajām valstīm.</w:t>
      </w:r>
    </w:p>
    <w:p w:rsidR="006806E9" w:rsidRPr="00ED367D" w:rsidRDefault="00C302ED" w:rsidP="006806E9">
      <w:pPr>
        <w:ind w:firstLine="567"/>
        <w:rPr>
          <w:rFonts w:cs="Times New Roman"/>
        </w:rPr>
      </w:pPr>
      <w:r w:rsidRPr="00ED367D">
        <w:rPr>
          <w:rFonts w:cs="Times New Roman"/>
        </w:rPr>
        <w:t xml:space="preserve">Vienlaikus </w:t>
      </w:r>
      <w:r w:rsidR="006806E9" w:rsidRPr="00ED367D">
        <w:rPr>
          <w:rFonts w:cs="Times New Roman"/>
        </w:rPr>
        <w:t xml:space="preserve"> Latvijas ekonomika pārkārtojas uz ilgtspējīgu attīstības modeli, kurā </w:t>
      </w:r>
      <w:r w:rsidR="00F94D1F" w:rsidRPr="00ED367D">
        <w:rPr>
          <w:rFonts w:cs="Times New Roman"/>
        </w:rPr>
        <w:t>viens no valsts ekonomikas attīstības „dzinējspēkiem” ir saražoto produktu un pakalpojumu eksports</w:t>
      </w:r>
      <w:r w:rsidR="006806E9" w:rsidRPr="00ED367D">
        <w:rPr>
          <w:rFonts w:cs="Times New Roman"/>
        </w:rPr>
        <w:t>, spēja konkurēt iekšējos un ārējos produktu tirgos, kā arī būt konkurētspējīgiem kapitāla piesaistē, lai kāpin</w:t>
      </w:r>
      <w:r w:rsidR="00C2255B" w:rsidRPr="00ED367D">
        <w:rPr>
          <w:rFonts w:cs="Times New Roman"/>
        </w:rPr>
        <w:t>ātu Latvijas ražīgo potenciālu.</w:t>
      </w:r>
    </w:p>
    <w:p w:rsidR="006806E9" w:rsidRPr="00ED367D" w:rsidRDefault="006806E9" w:rsidP="006806E9">
      <w:pPr>
        <w:ind w:firstLine="567"/>
        <w:rPr>
          <w:rFonts w:cs="Times New Roman"/>
        </w:rPr>
      </w:pPr>
      <w:r w:rsidRPr="00ED367D">
        <w:rPr>
          <w:rFonts w:cs="Times New Roman"/>
        </w:rPr>
        <w:t>Līdz ar kopējās ekonomiskās paradigmas maiņu pieaug nepieciešamība veidot efektīvu</w:t>
      </w:r>
      <w:r w:rsidR="007003FB" w:rsidRPr="00ED367D">
        <w:rPr>
          <w:rFonts w:cs="Times New Roman"/>
        </w:rPr>
        <w:t xml:space="preserve"> </w:t>
      </w:r>
      <w:r w:rsidR="0031568E" w:rsidRPr="00ED367D">
        <w:rPr>
          <w:rFonts w:cs="Times New Roman"/>
        </w:rPr>
        <w:t>NIP</w:t>
      </w:r>
      <w:r w:rsidRPr="00ED367D">
        <w:rPr>
          <w:rFonts w:cs="Times New Roman"/>
        </w:rPr>
        <w:t>, kuras uzmanības centrā būtu uz eksportu vērsto nozaru attīstība un tautsaimniecības struktūras maiņa par labu šīm nozarēm. Šai politikai jānodrošina, tirgojamo nozaru konkurētspējas un eksporta ienesīguma palielināšana, tādejādi ve</w:t>
      </w:r>
      <w:r w:rsidR="000665FC" w:rsidRPr="00ED367D">
        <w:rPr>
          <w:rFonts w:cs="Times New Roman"/>
        </w:rPr>
        <w:t>i</w:t>
      </w:r>
      <w:r w:rsidRPr="00ED367D">
        <w:rPr>
          <w:rFonts w:cs="Times New Roman"/>
        </w:rPr>
        <w:t>cinot valsts kopējo ienā</w:t>
      </w:r>
      <w:r w:rsidR="007003FB" w:rsidRPr="00ED367D">
        <w:rPr>
          <w:rFonts w:cs="Times New Roman"/>
        </w:rPr>
        <w:t xml:space="preserve">kumu pieaugumu. Tāpēc NIP uzdevums ir palīdzēt/ nodrošināt/ atbalstīt – motivēt </w:t>
      </w:r>
      <w:r w:rsidR="00315A11" w:rsidRPr="00ED367D">
        <w:rPr>
          <w:rFonts w:cs="Times New Roman"/>
        </w:rPr>
        <w:t xml:space="preserve">komersantus </w:t>
      </w:r>
      <w:r w:rsidR="007003FB" w:rsidRPr="00ED367D">
        <w:rPr>
          <w:rFonts w:cs="Times New Roman"/>
        </w:rPr>
        <w:t>konkurētspējas priekšrocību veidošanā un pārvaldībā ceļā uz augstāku produktivitāti.</w:t>
      </w:r>
      <w:r w:rsidRPr="00ED367D">
        <w:rPr>
          <w:rFonts w:cs="Times New Roman"/>
        </w:rPr>
        <w:t xml:space="preserve"> </w:t>
      </w:r>
    </w:p>
    <w:p w:rsidR="007003FB" w:rsidRDefault="007003FB" w:rsidP="006806E9">
      <w:pPr>
        <w:ind w:firstLine="567"/>
        <w:rPr>
          <w:rFonts w:cs="Times New Roman"/>
        </w:rPr>
      </w:pPr>
      <w:r w:rsidRPr="007003FB">
        <w:rPr>
          <w:rFonts w:cs="Times New Roman"/>
        </w:rPr>
        <w:t>NIP pamatnostādņu izstrādes mērķis ir identificēt makro un mikrolīmeņa šķēršļus, kas kavē un nākotnē var kavēt uz eksportu vērsto nozaru attīstību, t.i.,  noteikt galvenos industriālās politikas virzienus, ņemot vērā esošās attīstības tendences, globālos izaicinājumus un nozaru potenciālās iespējas virzībā uz augstākas pievienotās vērtības produktu ražošanu.</w:t>
      </w:r>
    </w:p>
    <w:p w:rsidR="006806E9" w:rsidRPr="00E67A0E" w:rsidRDefault="007003FB" w:rsidP="006806E9">
      <w:pPr>
        <w:ind w:firstLine="567"/>
        <w:rPr>
          <w:rFonts w:cs="Times New Roman"/>
        </w:rPr>
      </w:pPr>
      <w:r>
        <w:rPr>
          <w:rFonts w:cs="Times New Roman"/>
        </w:rPr>
        <w:t>NIP</w:t>
      </w:r>
      <w:r w:rsidR="006806E9" w:rsidRPr="00E67A0E">
        <w:rPr>
          <w:rFonts w:cs="Times New Roman"/>
        </w:rPr>
        <w:t xml:space="preserve"> izstrāde tiek balstīta uz mūsdienīgām un uz aktuālām ekonomikas teorētiķu izstrādātajām zinātniskajām koncepcijām. Ekonomikas zinātniskajā literatūrā par vienu no modernākajām ekonomikas koncepcijām tiek atzīta jaunas industriālās politikas koncepcija (vieni no atzītākajiem teorētiķiem ir Hārvardas profesori D.Rodriks</w:t>
      </w:r>
      <w:r w:rsidR="00460751">
        <w:rPr>
          <w:rFonts w:cs="Times New Roman"/>
        </w:rPr>
        <w:t xml:space="preserve"> un</w:t>
      </w:r>
      <w:r w:rsidR="00ED367D">
        <w:rPr>
          <w:rFonts w:cs="Times New Roman"/>
        </w:rPr>
        <w:t xml:space="preserve"> R.Hausmans). </w:t>
      </w:r>
      <w:r w:rsidR="00ED367D">
        <w:rPr>
          <w:rFonts w:cs="Times New Roman"/>
          <w:b/>
        </w:rPr>
        <w:t>Jaunā industriālā politika</w:t>
      </w:r>
      <w:r w:rsidR="00ED367D" w:rsidRPr="00ED367D">
        <w:rPr>
          <w:rFonts w:cs="Times New Roman"/>
          <w:b/>
        </w:rPr>
        <w:t xml:space="preserve"> pretstatus iepriekšējās desmitgadēs veidotajai </w:t>
      </w:r>
      <w:r w:rsidR="00ED367D">
        <w:rPr>
          <w:rFonts w:cs="Times New Roman"/>
          <w:b/>
        </w:rPr>
        <w:t>industriālajai politikai</w:t>
      </w:r>
      <w:r w:rsidR="00ED367D" w:rsidRPr="00ED367D">
        <w:rPr>
          <w:rFonts w:cs="Times New Roman"/>
          <w:b/>
        </w:rPr>
        <w:t>, ņem vērā globalizācijas radītās problēmas un uzsvars tajā ir vērsts uz jaunu konkurētspējas priekšrocību veidošanu visos ar ražošanas paplašināšanu un modernizāciju  saistītos procesos</w:t>
      </w:r>
      <w:r w:rsidR="00ED367D">
        <w:rPr>
          <w:rFonts w:cs="Times New Roman"/>
          <w:b/>
        </w:rPr>
        <w:t>.</w:t>
      </w:r>
      <w:r w:rsidR="006806E9" w:rsidRPr="00E67A0E">
        <w:rPr>
          <w:rFonts w:cs="Times New Roman"/>
        </w:rPr>
        <w:t xml:space="preserve"> </w:t>
      </w:r>
      <w:r w:rsidR="00ED367D">
        <w:rPr>
          <w:rFonts w:cs="Times New Roman"/>
        </w:rPr>
        <w:t>V</w:t>
      </w:r>
      <w:r w:rsidR="006806E9" w:rsidRPr="00E67A0E">
        <w:rPr>
          <w:rFonts w:cs="Times New Roman"/>
        </w:rPr>
        <w:t xml:space="preserve">iens no definētajiem pamatprincipiem  ir nevis „uzvarētāju atklāšana”,  bet process, kas ietver publiskā un privātā sektora dialogu ar mērķi atklāt kavējošos ierobežojumus jaunām ekonomiskām aktivitātēm un piedāvāt risinājumus </w:t>
      </w:r>
      <w:r w:rsidR="00C2255B" w:rsidRPr="00E67A0E">
        <w:rPr>
          <w:rFonts w:cs="Times New Roman"/>
        </w:rPr>
        <w:t>to novēršanai vai pārvarēšanai.</w:t>
      </w:r>
    </w:p>
    <w:p w:rsidR="00C2255B" w:rsidRPr="00E67A0E" w:rsidRDefault="007003FB" w:rsidP="00C2255B">
      <w:r>
        <w:t>NIP</w:t>
      </w:r>
      <w:r w:rsidR="00C2255B" w:rsidRPr="00E67A0E">
        <w:t xml:space="preserve"> stratēģiskais ietvars paredz, ka plānojot Nacionālo industriālo politiku un vēlāk to īstenojot, tiek realizētas divu tipu aktivitātes</w:t>
      </w:r>
      <w:r w:rsidR="00C302ED">
        <w:t>, kas vērstas gan uz globālo izaicinājumu, gan uz lokālo izaicinājumu pārvarēšanu</w:t>
      </w:r>
      <w:r w:rsidR="00C2255B" w:rsidRPr="00E67A0E">
        <w:t>:</w:t>
      </w:r>
    </w:p>
    <w:p w:rsidR="00C2255B" w:rsidRPr="00E67A0E" w:rsidRDefault="00C2255B" w:rsidP="00C2255B">
      <w:pPr>
        <w:pStyle w:val="ListParagraph"/>
        <w:numPr>
          <w:ilvl w:val="0"/>
          <w:numId w:val="36"/>
        </w:numPr>
      </w:pPr>
      <w:r w:rsidRPr="00E67A0E">
        <w:lastRenderedPageBreak/>
        <w:t>pirmkārt aktivitātes, kas ir saistītas ar ekonomikas funkcionālo šķēršļu identifikāciju un instrumentiem to novēršanai, jeb bāzes industriālās politikas aktivitātes;</w:t>
      </w:r>
    </w:p>
    <w:p w:rsidR="00C2255B" w:rsidRPr="00E67A0E" w:rsidRDefault="00C2255B" w:rsidP="00C2255B">
      <w:pPr>
        <w:pStyle w:val="ListParagraph"/>
        <w:numPr>
          <w:ilvl w:val="0"/>
          <w:numId w:val="36"/>
        </w:numPr>
      </w:pPr>
      <w:r w:rsidRPr="00E67A0E">
        <w:t xml:space="preserve">otrām kārtām tās ir aktivitātes, kas saistītas ar ekonomikas ienesīguma palielināšanu, jeb tirgojamo sektoru produktivitātes paaugstināšanu, kas nozīmē, ka ir nepieciešams izstrādāt atbalsta instrumentus gan tādu uzņēmumu, kas jau šobrīd ražo produktus ar augstu pievienoto vērtību, vai sniedz pakalpojumus ar augstu pievienoto vērtību stimulēšanai un tiem atbilstošu tirgus nepilnību novēršana, gan arī tādu ražotāju, kuri varētu ražot produktus ar augstu pievienoto vērtību vai varētu sniegt pakalpojumus ar augstu pievienoto vērtību, stimulēšanai un tirgus kļūdu novēršanai, kas traucē </w:t>
      </w:r>
      <w:r w:rsidR="000665FC">
        <w:t>uzņēmumu</w:t>
      </w:r>
      <w:r w:rsidRPr="00E67A0E">
        <w:t xml:space="preserve"> pāreju uz augstāka </w:t>
      </w:r>
      <w:r w:rsidR="000665FC">
        <w:t>ienesīguma</w:t>
      </w:r>
      <w:r w:rsidRPr="00E67A0E">
        <w:t xml:space="preserve"> produktiem un pakalpojumiem.</w:t>
      </w:r>
    </w:p>
    <w:p w:rsidR="006806E9" w:rsidRPr="00E67A0E" w:rsidRDefault="006806E9" w:rsidP="00B62C31">
      <w:pPr>
        <w:ind w:firstLine="567"/>
        <w:rPr>
          <w:rFonts w:cs="Times New Roman"/>
        </w:rPr>
      </w:pPr>
      <w:r w:rsidRPr="00B62C31">
        <w:rPr>
          <w:rFonts w:cs="Times New Roman"/>
        </w:rPr>
        <w:t>Pamatnostādņu pirmajā</w:t>
      </w:r>
      <w:r w:rsidR="006A5DC0" w:rsidRPr="00B62C31">
        <w:rPr>
          <w:rFonts w:cs="Times New Roman"/>
        </w:rPr>
        <w:t xml:space="preserve"> </w:t>
      </w:r>
      <w:r w:rsidRPr="00B62C31">
        <w:rPr>
          <w:rFonts w:cs="Times New Roman"/>
        </w:rPr>
        <w:t xml:space="preserve">sadaļā ir dots </w:t>
      </w:r>
      <w:r w:rsidR="006A5DC0" w:rsidRPr="00B62C31">
        <w:rPr>
          <w:rFonts w:cs="Times New Roman"/>
        </w:rPr>
        <w:t>globālais situācijas</w:t>
      </w:r>
      <w:r w:rsidRPr="00B62C31">
        <w:rPr>
          <w:rFonts w:cs="Times New Roman"/>
        </w:rPr>
        <w:t xml:space="preserve"> raksturojums </w:t>
      </w:r>
      <w:r w:rsidR="006A5DC0" w:rsidRPr="00B62C31">
        <w:rPr>
          <w:rFonts w:cs="Times New Roman"/>
        </w:rPr>
        <w:t xml:space="preserve">un </w:t>
      </w:r>
      <w:r w:rsidRPr="00B62C31">
        <w:rPr>
          <w:rFonts w:cs="Times New Roman"/>
        </w:rPr>
        <w:t xml:space="preserve">aprakstīti ekonomikas makro līmeņa izaicinājumi un šķēršļi. </w:t>
      </w:r>
      <w:r w:rsidR="006A5DC0" w:rsidRPr="00B62C31">
        <w:rPr>
          <w:rFonts w:cs="Times New Roman"/>
        </w:rPr>
        <w:t>Otrajā sadaļā ir raksturoti Latvijas ekonomikas izaicinājumi. Trešajā</w:t>
      </w:r>
      <w:r w:rsidRPr="00B62C31">
        <w:rPr>
          <w:rFonts w:cs="Times New Roman"/>
        </w:rPr>
        <w:t xml:space="preserve">  sadaļā ir apkopoti rezultāti no intervijām ar </w:t>
      </w:r>
      <w:r w:rsidR="00315A11" w:rsidRPr="00ED367D">
        <w:rPr>
          <w:rFonts w:cs="Times New Roman"/>
        </w:rPr>
        <w:t>komersantiem</w:t>
      </w:r>
      <w:r w:rsidR="00315A11" w:rsidRPr="004F030D">
        <w:rPr>
          <w:rFonts w:cs="Times New Roman"/>
          <w:b/>
        </w:rPr>
        <w:t xml:space="preserve"> </w:t>
      </w:r>
      <w:r w:rsidRPr="00B62C31">
        <w:rPr>
          <w:rFonts w:cs="Times New Roman"/>
        </w:rPr>
        <w:t>par jaunu produktu ražošanas uzsākšanas galvenajām problēmām</w:t>
      </w:r>
      <w:r w:rsidRPr="00E67A0E">
        <w:rPr>
          <w:rFonts w:cs="Times New Roman"/>
        </w:rPr>
        <w:t xml:space="preserve">. </w:t>
      </w:r>
      <w:r w:rsidR="00411E44">
        <w:rPr>
          <w:rFonts w:cs="Times New Roman"/>
        </w:rPr>
        <w:t>Piektajā</w:t>
      </w:r>
      <w:r w:rsidR="006A5DC0" w:rsidRPr="00E67A0E">
        <w:rPr>
          <w:rFonts w:cs="Times New Roman"/>
        </w:rPr>
        <w:t xml:space="preserve"> sadaļā ir apkopoti secinājumi par iepriekš minētajiem analīzes aspektiem. </w:t>
      </w:r>
      <w:r w:rsidRPr="00E67A0E">
        <w:rPr>
          <w:rFonts w:cs="Times New Roman"/>
        </w:rPr>
        <w:t xml:space="preserve">Savukārt </w:t>
      </w:r>
      <w:r w:rsidR="00411E44">
        <w:rPr>
          <w:rFonts w:cs="Times New Roman"/>
        </w:rPr>
        <w:t>septītajā</w:t>
      </w:r>
      <w:r w:rsidRPr="00E67A0E">
        <w:rPr>
          <w:rFonts w:cs="Times New Roman"/>
        </w:rPr>
        <w:t xml:space="preserve"> sadaļā ir aprakstītas tās nepieciešamās darbības, kas veicina pamatnostādnēs definēt</w:t>
      </w:r>
      <w:r w:rsidR="000E0BF7" w:rsidRPr="00E67A0E">
        <w:rPr>
          <w:rFonts w:cs="Times New Roman"/>
        </w:rPr>
        <w:t>ā</w:t>
      </w:r>
      <w:r w:rsidRPr="00E67A0E">
        <w:rPr>
          <w:rFonts w:cs="Times New Roman"/>
        </w:rPr>
        <w:t xml:space="preserve"> mērķ</w:t>
      </w:r>
      <w:r w:rsidR="000E0BF7" w:rsidRPr="00E67A0E">
        <w:rPr>
          <w:rFonts w:cs="Times New Roman"/>
        </w:rPr>
        <w:t>a</w:t>
      </w:r>
      <w:r w:rsidRPr="00E67A0E">
        <w:rPr>
          <w:rFonts w:cs="Times New Roman"/>
        </w:rPr>
        <w:t xml:space="preserve"> un rezultatīvo </w:t>
      </w:r>
      <w:r w:rsidRPr="00B62C31">
        <w:rPr>
          <w:rFonts w:cs="Times New Roman"/>
        </w:rPr>
        <w:t xml:space="preserve">rādītāju </w:t>
      </w:r>
      <w:r w:rsidR="00411E44">
        <w:rPr>
          <w:rFonts w:cs="Times New Roman"/>
        </w:rPr>
        <w:t>(6</w:t>
      </w:r>
      <w:r w:rsidRPr="00B62C31">
        <w:rPr>
          <w:rFonts w:cs="Times New Roman"/>
        </w:rPr>
        <w:t>.sadaļa)</w:t>
      </w:r>
      <w:r w:rsidRPr="00E67A0E">
        <w:rPr>
          <w:rFonts w:cs="Times New Roman"/>
        </w:rPr>
        <w:t xml:space="preserve"> sasniegšanu un analīzes rezultātā identificēto izaicinājumu un šķēršļu minimizēšanu.</w:t>
      </w:r>
    </w:p>
    <w:p w:rsidR="00C2255B" w:rsidRPr="0034415A" w:rsidRDefault="00C2255B" w:rsidP="00C2255B">
      <w:pPr>
        <w:rPr>
          <w:szCs w:val="28"/>
        </w:rPr>
      </w:pPr>
      <w:r w:rsidRPr="00E67A0E">
        <w:t xml:space="preserve">Pamatnostādņu 1.pielikumā ir ietverts eksportspējīgāko nišu un produktu ar augstāku pievienotās vērtības potenciālu noteikšanas un padziļinātas ražotāju analīzes apraksts, 2.pielikumā ir ietverts uzņēmējdarbības reģionālā aspekta novērtējums, 3.pielikumā ir aprakstīta Eiropas Komisijas iniciatīva industriālās politikas izstrādē, 4.pielikumā ir ietverts darbības plāns pamatnostādņu </w:t>
      </w:r>
      <w:r w:rsidRPr="0034415A">
        <w:rPr>
          <w:szCs w:val="28"/>
        </w:rPr>
        <w:t>īstenošanai līdz 201</w:t>
      </w:r>
      <w:r w:rsidR="00D86C4A">
        <w:rPr>
          <w:szCs w:val="28"/>
        </w:rPr>
        <w:t>6</w:t>
      </w:r>
      <w:r w:rsidRPr="0034415A">
        <w:rPr>
          <w:szCs w:val="28"/>
        </w:rPr>
        <w:t>.gadam.</w:t>
      </w:r>
    </w:p>
    <w:p w:rsidR="00B62C31" w:rsidRPr="00ED367D" w:rsidRDefault="00B62C31" w:rsidP="00B62C31">
      <w:pPr>
        <w:ind w:firstLine="567"/>
        <w:rPr>
          <w:rFonts w:cs="Times New Roman"/>
          <w:szCs w:val="28"/>
        </w:rPr>
      </w:pPr>
      <w:r w:rsidRPr="00ED367D">
        <w:rPr>
          <w:rFonts w:cs="Times New Roman"/>
          <w:szCs w:val="28"/>
        </w:rPr>
        <w:t xml:space="preserve">Nacionālās industriālās politikas pamatnostādnes ir uzskatāmas par Latvijas izaugsmes un ekonomiskās attīstības politikas </w:t>
      </w:r>
      <w:r w:rsidR="004F030D" w:rsidRPr="00ED367D">
        <w:rPr>
          <w:rFonts w:cs="Times New Roman"/>
          <w:szCs w:val="28"/>
        </w:rPr>
        <w:t>svarīgāko</w:t>
      </w:r>
      <w:r w:rsidRPr="00ED367D">
        <w:rPr>
          <w:rFonts w:cs="Times New Roman"/>
          <w:szCs w:val="28"/>
        </w:rPr>
        <w:t xml:space="preserve"> dokumentu, kurā ir ietverta</w:t>
      </w:r>
      <w:r w:rsidR="00411E44" w:rsidRPr="00ED367D">
        <w:rPr>
          <w:rFonts w:cs="Times New Roman"/>
          <w:szCs w:val="28"/>
        </w:rPr>
        <w:t xml:space="preserve"> arī</w:t>
      </w:r>
      <w:r w:rsidRPr="00ED367D">
        <w:rPr>
          <w:rFonts w:cs="Times New Roman"/>
          <w:szCs w:val="28"/>
        </w:rPr>
        <w:t xml:space="preserve"> sasaiste ar citu nozaru rīcību un nepieciešamo darbību plānojumu. </w:t>
      </w:r>
    </w:p>
    <w:p w:rsidR="006806E9" w:rsidRPr="00ED367D" w:rsidRDefault="00B62C31" w:rsidP="00B62C31">
      <w:pPr>
        <w:ind w:firstLine="567"/>
        <w:rPr>
          <w:rFonts w:cs="Times New Roman"/>
          <w:szCs w:val="28"/>
        </w:rPr>
      </w:pPr>
      <w:r w:rsidRPr="00ED367D">
        <w:rPr>
          <w:rFonts w:cs="Times New Roman"/>
          <w:szCs w:val="28"/>
        </w:rPr>
        <w:t xml:space="preserve">Nacionālās industriālās politikas izstrāde ir cieši saistīta ar ilgtermiņa plānošanas dokumentiem – </w:t>
      </w:r>
      <w:r w:rsidR="006806E9" w:rsidRPr="00ED367D">
        <w:rPr>
          <w:rStyle w:val="st"/>
          <w:szCs w:val="28"/>
        </w:rPr>
        <w:t>Latvijas ilgtspējīgas attīstības stratēģija līdz 2030.gadam (</w:t>
      </w:r>
      <w:r w:rsidR="006806E9" w:rsidRPr="00ED367D">
        <w:rPr>
          <w:rFonts w:cs="Times New Roman"/>
          <w:szCs w:val="28"/>
        </w:rPr>
        <w:t>Latvija 2030)</w:t>
      </w:r>
      <w:r w:rsidR="00B178E7" w:rsidRPr="00ED367D">
        <w:rPr>
          <w:rFonts w:cs="Times New Roman"/>
          <w:szCs w:val="28"/>
        </w:rPr>
        <w:t xml:space="preserve"> (apstiprināta ar Saeimas 2010.gada 10.jūnija </w:t>
      </w:r>
      <w:r w:rsidR="00413118">
        <w:rPr>
          <w:rFonts w:cs="Times New Roman"/>
          <w:szCs w:val="28"/>
        </w:rPr>
        <w:t>paziņojumu</w:t>
      </w:r>
      <w:r w:rsidR="00B178E7" w:rsidRPr="00DA1480">
        <w:rPr>
          <w:rFonts w:cs="Times New Roman"/>
          <w:szCs w:val="28"/>
        </w:rPr>
        <w:t>)</w:t>
      </w:r>
      <w:r w:rsidR="006806E9" w:rsidRPr="00DA1480">
        <w:rPr>
          <w:rFonts w:cs="Times New Roman"/>
          <w:szCs w:val="28"/>
        </w:rPr>
        <w:t xml:space="preserve">, </w:t>
      </w:r>
      <w:r w:rsidR="006806E9" w:rsidRPr="00DA1480">
        <w:rPr>
          <w:rStyle w:val="st"/>
          <w:szCs w:val="28"/>
        </w:rPr>
        <w:t xml:space="preserve">Latvijas </w:t>
      </w:r>
      <w:r w:rsidR="006806E9" w:rsidRPr="00DA1480">
        <w:rPr>
          <w:rStyle w:val="Emphasis"/>
          <w:i w:val="0"/>
          <w:szCs w:val="28"/>
        </w:rPr>
        <w:t>nacionālā reformu programma</w:t>
      </w:r>
      <w:r w:rsidR="006806E9" w:rsidRPr="00DA1480">
        <w:rPr>
          <w:rStyle w:val="st"/>
          <w:szCs w:val="28"/>
        </w:rPr>
        <w:t xml:space="preserve"> „ES 2020” stratēģijas īstenošanai</w:t>
      </w:r>
      <w:r w:rsidR="00B178E7" w:rsidRPr="00DA1480">
        <w:rPr>
          <w:rStyle w:val="st"/>
          <w:szCs w:val="28"/>
        </w:rPr>
        <w:t xml:space="preserve"> (apstiprināta ar Ministru kabineta </w:t>
      </w:r>
      <w:r w:rsidR="00DA1480" w:rsidRPr="00DA1480">
        <w:rPr>
          <w:rFonts w:eastAsia="Times New Roman" w:cs="Times New Roman"/>
          <w:szCs w:val="24"/>
          <w:lang w:eastAsia="zh-CN"/>
        </w:rPr>
        <w:t>2011.gada 26.aprīļa  sēdes protokolu Nr.27; 34.§</w:t>
      </w:r>
      <w:r w:rsidR="00B178E7" w:rsidRPr="00DA1480">
        <w:rPr>
          <w:rStyle w:val="st"/>
          <w:szCs w:val="28"/>
        </w:rPr>
        <w:t>)</w:t>
      </w:r>
      <w:r w:rsidR="006806E9" w:rsidRPr="00DA1480">
        <w:rPr>
          <w:rStyle w:val="st"/>
          <w:szCs w:val="28"/>
        </w:rPr>
        <w:t xml:space="preserve">, </w:t>
      </w:r>
      <w:r w:rsidR="00413118" w:rsidRPr="00DA1480">
        <w:rPr>
          <w:rStyle w:val="st"/>
          <w:szCs w:val="28"/>
        </w:rPr>
        <w:t xml:space="preserve">Latvijas </w:t>
      </w:r>
      <w:r w:rsidR="00B178E7" w:rsidRPr="00DA1480">
        <w:rPr>
          <w:rStyle w:val="st"/>
          <w:szCs w:val="28"/>
        </w:rPr>
        <w:t xml:space="preserve">Nacionālais </w:t>
      </w:r>
      <w:r w:rsidR="006806E9" w:rsidRPr="00DA1480">
        <w:rPr>
          <w:rStyle w:val="st"/>
          <w:szCs w:val="28"/>
        </w:rPr>
        <w:t xml:space="preserve">attīstības </w:t>
      </w:r>
      <w:r w:rsidR="00B178E7" w:rsidRPr="00DA1480">
        <w:rPr>
          <w:rStyle w:val="st"/>
          <w:szCs w:val="28"/>
        </w:rPr>
        <w:t>plāns 2014.-2020.gadam (</w:t>
      </w:r>
      <w:r w:rsidR="00B178E7" w:rsidRPr="00DA1480">
        <w:rPr>
          <w:rFonts w:cs="Times New Roman"/>
          <w:szCs w:val="28"/>
        </w:rPr>
        <w:t>apstiprināts  ar Saeimas 2012</w:t>
      </w:r>
      <w:r w:rsidR="00B178E7" w:rsidRPr="00ED367D">
        <w:rPr>
          <w:rFonts w:cs="Times New Roman"/>
          <w:szCs w:val="28"/>
        </w:rPr>
        <w:t xml:space="preserve">.gada 20.decembra </w:t>
      </w:r>
      <w:r w:rsidR="00413118">
        <w:rPr>
          <w:rFonts w:cs="Times New Roman"/>
          <w:szCs w:val="28"/>
        </w:rPr>
        <w:t>paziņojumu</w:t>
      </w:r>
      <w:r w:rsidR="00B178E7" w:rsidRPr="00ED367D">
        <w:rPr>
          <w:rFonts w:cs="Times New Roman"/>
          <w:szCs w:val="28"/>
        </w:rPr>
        <w:t>)</w:t>
      </w:r>
      <w:r w:rsidR="006806E9" w:rsidRPr="00ED367D">
        <w:rPr>
          <w:rStyle w:val="st"/>
          <w:szCs w:val="28"/>
        </w:rPr>
        <w:t xml:space="preserve">, </w:t>
      </w:r>
      <w:r w:rsidR="006806E9" w:rsidRPr="00ED367D">
        <w:rPr>
          <w:rFonts w:cs="Times New Roman"/>
          <w:szCs w:val="28"/>
        </w:rPr>
        <w:t xml:space="preserve">Latvijas preču un pakalpojumu eksporta veicināšanas un ārvalstu investīciju piesaistes </w:t>
      </w:r>
      <w:r w:rsidR="006806E9" w:rsidRPr="00ED367D">
        <w:rPr>
          <w:rStyle w:val="st"/>
          <w:szCs w:val="28"/>
        </w:rPr>
        <w:t>pamatnostādn</w:t>
      </w:r>
      <w:r w:rsidR="00B178E7" w:rsidRPr="00ED367D">
        <w:rPr>
          <w:rStyle w:val="st"/>
          <w:szCs w:val="28"/>
        </w:rPr>
        <w:t>es</w:t>
      </w:r>
      <w:r w:rsidR="0034415A" w:rsidRPr="00ED367D">
        <w:rPr>
          <w:rStyle w:val="st"/>
          <w:szCs w:val="28"/>
        </w:rPr>
        <w:t xml:space="preserve"> 2013-2019.gadam</w:t>
      </w:r>
      <w:r w:rsidR="000071CC" w:rsidRPr="00ED367D">
        <w:rPr>
          <w:rStyle w:val="st"/>
          <w:szCs w:val="28"/>
        </w:rPr>
        <w:t xml:space="preserve"> (Ministru kabineta 2009.gada 19 jūnija rīkojums Nr.413)</w:t>
      </w:r>
      <w:r w:rsidR="00406EF2" w:rsidRPr="00ED367D">
        <w:rPr>
          <w:rStyle w:val="st"/>
          <w:szCs w:val="28"/>
        </w:rPr>
        <w:t xml:space="preserve">, </w:t>
      </w:r>
      <w:r w:rsidR="00406EF2" w:rsidRPr="00ED367D">
        <w:rPr>
          <w:szCs w:val="28"/>
        </w:rPr>
        <w:t>Pētniecības, tehnoloģiju attīstības un inovācijas pamatnostād</w:t>
      </w:r>
      <w:r w:rsidR="000665FC" w:rsidRPr="00ED367D">
        <w:rPr>
          <w:szCs w:val="28"/>
        </w:rPr>
        <w:t xml:space="preserve">ņu </w:t>
      </w:r>
      <w:r w:rsidR="0034415A" w:rsidRPr="00ED367D">
        <w:rPr>
          <w:szCs w:val="28"/>
        </w:rPr>
        <w:t>2014-2020.gadam</w:t>
      </w:r>
      <w:r w:rsidR="000665FC" w:rsidRPr="00ED367D">
        <w:rPr>
          <w:szCs w:val="28"/>
        </w:rPr>
        <w:t xml:space="preserve"> projektu</w:t>
      </w:r>
      <w:r w:rsidR="00413118">
        <w:rPr>
          <w:szCs w:val="28"/>
        </w:rPr>
        <w:t xml:space="preserve"> (atrodas izstrādes </w:t>
      </w:r>
      <w:r w:rsidR="00DA1480">
        <w:rPr>
          <w:szCs w:val="28"/>
        </w:rPr>
        <w:t>procesā</w:t>
      </w:r>
      <w:r w:rsidR="00413118">
        <w:rPr>
          <w:szCs w:val="28"/>
        </w:rPr>
        <w:t xml:space="preserve"> Izglītības un zinātnes ministrijā)</w:t>
      </w:r>
      <w:r w:rsidR="00C2255B" w:rsidRPr="00ED367D">
        <w:rPr>
          <w:rFonts w:cs="Times New Roman"/>
          <w:szCs w:val="28"/>
        </w:rPr>
        <w:t>.</w:t>
      </w:r>
    </w:p>
    <w:p w:rsidR="003432AF" w:rsidRPr="00E67A0E" w:rsidRDefault="003432AF" w:rsidP="003432AF">
      <w:pPr>
        <w:pStyle w:val="ListParagraph"/>
        <w:ind w:firstLine="0"/>
      </w:pPr>
    </w:p>
    <w:p w:rsidR="00AC1191" w:rsidRPr="00E67A0E" w:rsidRDefault="006505C1" w:rsidP="00B35A12">
      <w:pPr>
        <w:pStyle w:val="Heading1"/>
      </w:pPr>
      <w:bookmarkStart w:id="4" w:name="_Toc354732559"/>
      <w:r w:rsidRPr="00E67A0E">
        <w:lastRenderedPageBreak/>
        <w:t>Attīstības tendences un</w:t>
      </w:r>
      <w:r w:rsidR="003C7A03" w:rsidRPr="00E67A0E">
        <w:t xml:space="preserve"> globālie</w:t>
      </w:r>
      <w:r w:rsidRPr="00E67A0E">
        <w:t xml:space="preserve"> izaicinājumi</w:t>
      </w:r>
      <w:bookmarkEnd w:id="4"/>
    </w:p>
    <w:p w:rsidR="007003FB" w:rsidRDefault="007003FB" w:rsidP="000E0BF7">
      <w:bookmarkStart w:id="5" w:name="_Toc341951814"/>
      <w:r w:rsidRPr="007003FB">
        <w:t>Pašlaik Latvijas ekonomika pārkārtojas uz ilgtspējīgu attīstības modeli, kurā galvenais attīstības dzinējspēks ir eksports.</w:t>
      </w:r>
    </w:p>
    <w:p w:rsidR="000E0BF7" w:rsidRPr="00E67A0E" w:rsidRDefault="000E0BF7" w:rsidP="000E0BF7">
      <w:r w:rsidRPr="00E67A0E">
        <w:t>Viens no svarīgākajiem ekonomiskās paradigmas maiņas jautājumiem ir ražošanas nozaru attīstības iespējas, kas, savukārt, ir atkarīgs no spējas veikt strukturālās izmaiņas nozarē. Tas ir nepieciešams priekšnosacījums tam, lai sti</w:t>
      </w:r>
      <w:r w:rsidR="000665FC">
        <w:t>prinātu Latvijas konkurētspējīgā</w:t>
      </w:r>
      <w:r w:rsidRPr="00E67A0E">
        <w:t>s pozīcijas globālajos tirgos, vienlaikus palielinot eksporta groza ienesīgumu.</w:t>
      </w:r>
    </w:p>
    <w:p w:rsidR="007003FB" w:rsidRPr="00413118" w:rsidRDefault="007003FB" w:rsidP="000E0BF7">
      <w:r w:rsidRPr="007003FB">
        <w:t xml:space="preserve">Pašlaik Latvijas eksporta struktūrā dominē preču eksports, kas caurmērā veido 2/3 no kopējiem eksporta ienākumiem. Nedaudz vairāk kā ceturtdaļa ir pakalpojumu eksports, savukārt ienākumi no ārvalstu ceļotājiem veido 5-6%. Kopējā Latvijas preču eksportā Latvijas uzņēmumu produkcija ir 90%, jo 10% ir saistīti ar preču reeksportu. Tādejādi Latvijas </w:t>
      </w:r>
      <w:r w:rsidRPr="00413118">
        <w:t xml:space="preserve">rūpniecības produkcijas daļa kopējā valsts eksportā ir nedaudz vairāk kā 50%. Savukārt transporta nozare ir lielākā pakalpojumu eksporta nozare. </w:t>
      </w:r>
      <w:r w:rsidR="004F030D" w:rsidRPr="00413118">
        <w:t>Transporta pakalpojumu daļa eksportā  ir apmēram 15%, no kuriem 1/3 daļa saistīta ar tranzītpakalpojumiem.</w:t>
      </w:r>
    </w:p>
    <w:p w:rsidR="006505C1" w:rsidRPr="00E67A0E" w:rsidRDefault="001E001A" w:rsidP="000E0BF7">
      <w:r w:rsidRPr="00413118">
        <w:t>Atjaunojoties ekonomikas izaugsmei pēc dziļās krīzes, Latvijas lielākās eksporta nozares</w:t>
      </w:r>
      <w:r w:rsidR="000E0BF7" w:rsidRPr="00413118">
        <w:t>, apstrādes rūpniecības pieauguma tempi bija</w:t>
      </w:r>
      <w:r w:rsidR="000E0BF7" w:rsidRPr="00E67A0E">
        <w:t xml:space="preserve"> krietni straujāki nekā kopējā tautsaimniecības izaugsme. Tātad apstrādes rūpniecība pašreizējā situācijā ir galvenais tautsaimniecības izaugsmes virzītājs</w:t>
      </w:r>
      <w:r w:rsidR="006505C1" w:rsidRPr="00E67A0E">
        <w:t>.</w:t>
      </w:r>
    </w:p>
    <w:p w:rsidR="006505C1" w:rsidRPr="00E67A0E" w:rsidRDefault="006505C1" w:rsidP="0057772F">
      <w:pPr>
        <w:jc w:val="right"/>
      </w:pPr>
      <w:r w:rsidRPr="00E67A0E">
        <w:t xml:space="preserve"> 1.attēls</w:t>
      </w:r>
    </w:p>
    <w:p w:rsidR="006505C1" w:rsidRPr="00851916" w:rsidRDefault="006505C1" w:rsidP="006505C1">
      <w:pPr>
        <w:jc w:val="center"/>
        <w:rPr>
          <w:b/>
        </w:rPr>
      </w:pPr>
      <w:r w:rsidRPr="00851916">
        <w:rPr>
          <w:b/>
        </w:rPr>
        <w:t>IKP un apstrādes rūpniecības izaugsme</w:t>
      </w:r>
    </w:p>
    <w:p w:rsidR="006505C1" w:rsidRPr="00851916" w:rsidRDefault="006505C1" w:rsidP="006505C1">
      <w:pPr>
        <w:jc w:val="center"/>
      </w:pPr>
      <w:r w:rsidRPr="00851916">
        <w:t>(% pret iepriekšējo gadu)</w:t>
      </w:r>
    </w:p>
    <w:p w:rsidR="006505C1" w:rsidRPr="00E67A0E" w:rsidRDefault="006505C1" w:rsidP="006505C1">
      <w:pPr>
        <w:jc w:val="center"/>
      </w:pPr>
      <w:r w:rsidRPr="00E67A0E">
        <w:rPr>
          <w:noProof/>
          <w:lang w:eastAsia="lv-LV"/>
        </w:rPr>
        <w:drawing>
          <wp:inline distT="0" distB="0" distL="0" distR="0" wp14:anchorId="07C90D78" wp14:editId="47167628">
            <wp:extent cx="5001370" cy="2019631"/>
            <wp:effectExtent l="0" t="0" r="0" b="0"/>
            <wp:docPr id="3" name="Char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505C1" w:rsidRPr="00E67A0E" w:rsidRDefault="006505C1" w:rsidP="006505C1">
      <w:pPr>
        <w:rPr>
          <w:rFonts w:eastAsia="Calibri"/>
          <w:szCs w:val="28"/>
        </w:rPr>
      </w:pPr>
    </w:p>
    <w:p w:rsidR="006505C1" w:rsidRPr="00413118" w:rsidRDefault="00413118" w:rsidP="006505C1">
      <w:pPr>
        <w:rPr>
          <w:b/>
        </w:rPr>
      </w:pPr>
      <w:r w:rsidRPr="00413118">
        <w:rPr>
          <w:b/>
        </w:rPr>
        <w:t>Rūpniecības attīstības noturīgumam jārada atbilstoša vide un nosacījumi, tai skaitā, pārstrukturējot ražošanu uz precēm ar augstāku pievienoto vērtību, kas ļautu ģenerēt augstākus ienākumus un attiecīgi arī uzlabotu iedzīvotāju ienākumu līmeni</w:t>
      </w:r>
      <w:r w:rsidR="006505C1" w:rsidRPr="00413118">
        <w:rPr>
          <w:b/>
        </w:rPr>
        <w:t>.</w:t>
      </w:r>
    </w:p>
    <w:p w:rsidR="00F2585F" w:rsidRDefault="00F2585F" w:rsidP="00F2585F">
      <w:r>
        <w:t>Pašreizējā izaugsmes atjaunošanās periodā apstrādes rūpniecības straujās izaugsmes un līdz ar to eksporta apjoma palielinājumā izšķiroša nozīme bija Latvijas darba tirgus elastīgumam. Tas raksturojas ar atbilstošu nodarbinātības un darba algas samazinājumu pieprasījuma samazinājuma apstākļos</w:t>
      </w:r>
      <w:r w:rsidR="001E001A">
        <w:t xml:space="preserve">, </w:t>
      </w:r>
      <w:r w:rsidR="001E001A" w:rsidRPr="001E001A">
        <w:t>kas krietni paaugstināja Latvijas ražotāju konkurētspēju salīdzinājumā ar citām ES dalībvalstīm</w:t>
      </w:r>
      <w:r>
        <w:t xml:space="preserve">. </w:t>
      </w:r>
    </w:p>
    <w:p w:rsidR="00F2585F" w:rsidRDefault="00F2585F" w:rsidP="00F2585F">
      <w:r>
        <w:lastRenderedPageBreak/>
        <w:t>Savukārt, lai noteiktu vajadzīgo potenciālu augstāku ienākumu ģenerēšanai, svarīgi ir izvērtēt Latvijas tautsaimniecības un apstrādes rūpniecības (kā apjomīgākās uz eksportu vērstās nozares) struktūru, tās attīstības tendences un potenciālu, jo rūpniecība lielā mērā nosaka visas tautsaimniecības konkurētspēju nākotnes izaugsmes modeļa kontekstā.</w:t>
      </w:r>
    </w:p>
    <w:p w:rsidR="004F030D" w:rsidRPr="00DA1480" w:rsidRDefault="006505C1" w:rsidP="006505C1">
      <w:r w:rsidRPr="00DA1480">
        <w:t xml:space="preserve">Kā atzīmēts pētījumā </w:t>
      </w:r>
      <w:r w:rsidRPr="00DA1480">
        <w:rPr>
          <w:i/>
        </w:rPr>
        <w:t>Latvijas konkurētspējas novērtējums 2011</w:t>
      </w:r>
      <w:r w:rsidR="000E0BF7" w:rsidRPr="00DA1480">
        <w:rPr>
          <w:rStyle w:val="FootnoteReference"/>
          <w:i/>
        </w:rPr>
        <w:footnoteReference w:id="1"/>
      </w:r>
      <w:r w:rsidRPr="00DA1480">
        <w:t xml:space="preserve">, </w:t>
      </w:r>
      <w:r w:rsidR="004F030D" w:rsidRPr="00DA1480">
        <w:t>apstrādes rūpniecības zemais īpatsvars IKP (14.1%) ir viena no Latvijas konkurētspējas vājajām vietām.</w:t>
      </w:r>
    </w:p>
    <w:p w:rsidR="00D27449" w:rsidRDefault="006505C1" w:rsidP="006505C1">
      <w:r w:rsidRPr="00E67A0E">
        <w:t>Eiropas Komisijas dokumentā par ES nozaru struktūru (</w:t>
      </w:r>
      <w:r w:rsidRPr="00E67A0E">
        <w:rPr>
          <w:i/>
        </w:rPr>
        <w:t>EU industrial structure</w:t>
      </w:r>
      <w:r w:rsidR="000E0BF7" w:rsidRPr="00E67A0E">
        <w:rPr>
          <w:i/>
        </w:rPr>
        <w:t xml:space="preserve">, 2011. </w:t>
      </w:r>
      <w:r w:rsidR="000714A9" w:rsidRPr="00E67A0E">
        <w:rPr>
          <w:i/>
        </w:rPr>
        <w:t>Trends and Performance</w:t>
      </w:r>
      <w:r w:rsidRPr="00E67A0E">
        <w:t>)</w:t>
      </w:r>
      <w:r w:rsidR="000714A9" w:rsidRPr="00E67A0E">
        <w:rPr>
          <w:rStyle w:val="FootnoteReference"/>
        </w:rPr>
        <w:footnoteReference w:id="2"/>
      </w:r>
      <w:r w:rsidRPr="00E67A0E">
        <w:t xml:space="preserve"> redzams, ka Latvijas ekonomika raksturojas ar izteiktu nozaru specializāciju. Tomēr jāatzīmē, ka mazām valstīm ir raksturīga izteiktāka nozaru specializācija nekā lielām valstīm. Būtiskākais ir tas, ka specializācija koncentrējas zemo un vidēji zemo tehnoloģiju nozarēs. Tas nozīmē, ka mūsu </w:t>
      </w:r>
      <w:r w:rsidRPr="004F030D">
        <w:t>ekonomiskās priekšrocības ir galvenokārt lētā darbaspēka un atbilstoši zemo ienākumu nozarēs.</w:t>
      </w:r>
      <w:r w:rsidRPr="00E67A0E">
        <w:t xml:space="preserve"> </w:t>
      </w:r>
    </w:p>
    <w:p w:rsidR="00D27449" w:rsidRPr="00D27449" w:rsidRDefault="00D27449" w:rsidP="00D27449">
      <w:pPr>
        <w:jc w:val="right"/>
        <w:rPr>
          <w:rFonts w:cs="Times New Roman"/>
          <w:szCs w:val="28"/>
        </w:rPr>
      </w:pPr>
      <w:r w:rsidRPr="00D27449">
        <w:rPr>
          <w:rFonts w:cs="Times New Roman"/>
          <w:szCs w:val="28"/>
        </w:rPr>
        <w:t>2.attēls</w:t>
      </w:r>
    </w:p>
    <w:p w:rsidR="00D27449" w:rsidRPr="00D27449" w:rsidRDefault="00D27449" w:rsidP="00D27449">
      <w:pPr>
        <w:jc w:val="center"/>
        <w:rPr>
          <w:rFonts w:cs="Times New Roman"/>
          <w:b/>
          <w:szCs w:val="28"/>
        </w:rPr>
      </w:pPr>
      <w:r w:rsidRPr="00D27449">
        <w:rPr>
          <w:rFonts w:cs="Times New Roman"/>
          <w:b/>
          <w:szCs w:val="28"/>
        </w:rPr>
        <w:t>Apstrādes rūpniecības struktūra pēc tehnoloģiju līmeņa</w:t>
      </w:r>
    </w:p>
    <w:p w:rsidR="00D27449" w:rsidRPr="00D27449" w:rsidRDefault="00D27449" w:rsidP="00D27449">
      <w:pPr>
        <w:jc w:val="center"/>
        <w:rPr>
          <w:rFonts w:cs="Times New Roman"/>
          <w:szCs w:val="28"/>
        </w:rPr>
      </w:pPr>
      <w:r w:rsidRPr="00D27449">
        <w:rPr>
          <w:rFonts w:cs="Times New Roman"/>
          <w:szCs w:val="28"/>
        </w:rPr>
        <w:t>(procentos)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9"/>
        <w:gridCol w:w="5691"/>
      </w:tblGrid>
      <w:tr w:rsidR="00D27449" w:rsidRPr="00E67A0E" w:rsidTr="00CC5099">
        <w:trPr>
          <w:trHeight w:val="423"/>
        </w:trPr>
        <w:tc>
          <w:tcPr>
            <w:tcW w:w="2500" w:type="pct"/>
            <w:vAlign w:val="bottom"/>
          </w:tcPr>
          <w:p w:rsidR="00D27449" w:rsidRDefault="00D27449" w:rsidP="00CC5099">
            <w:pPr>
              <w:pStyle w:val="9pirmstab3"/>
              <w:tabs>
                <w:tab w:val="clear" w:pos="3259"/>
                <w:tab w:val="clear" w:pos="4200"/>
                <w:tab w:val="clear" w:pos="5141"/>
                <w:tab w:val="clear" w:pos="6082"/>
                <w:tab w:val="clear" w:pos="7022"/>
                <w:tab w:val="clear" w:pos="7963"/>
                <w:tab w:val="clear" w:pos="8870"/>
                <w:tab w:val="clear" w:pos="9794"/>
                <w:tab w:val="clear" w:pos="10718"/>
                <w:tab w:val="clear" w:pos="11659"/>
                <w:tab w:val="clear" w:pos="13171"/>
              </w:tabs>
              <w:spacing w:after="0"/>
              <w:rPr>
                <w:bCs/>
                <w:spacing w:val="-2"/>
                <w:sz w:val="20"/>
                <w:szCs w:val="26"/>
              </w:rPr>
            </w:pPr>
            <w:r>
              <w:rPr>
                <w:bCs/>
                <w:spacing w:val="-2"/>
                <w:sz w:val="20"/>
                <w:szCs w:val="26"/>
              </w:rPr>
              <w:t>1997</w:t>
            </w:r>
            <w:r w:rsidRPr="00E67A0E">
              <w:rPr>
                <w:bCs/>
                <w:spacing w:val="-2"/>
                <w:sz w:val="20"/>
                <w:szCs w:val="26"/>
              </w:rPr>
              <w:t>.gadā</w:t>
            </w:r>
          </w:p>
          <w:p w:rsidR="00D27449" w:rsidRPr="00E67A0E" w:rsidRDefault="00D27449" w:rsidP="00CC5099">
            <w:pPr>
              <w:pStyle w:val="9pirmstab3"/>
              <w:tabs>
                <w:tab w:val="clear" w:pos="3259"/>
                <w:tab w:val="clear" w:pos="4200"/>
                <w:tab w:val="clear" w:pos="5141"/>
                <w:tab w:val="clear" w:pos="6082"/>
                <w:tab w:val="clear" w:pos="7022"/>
                <w:tab w:val="clear" w:pos="7963"/>
                <w:tab w:val="clear" w:pos="8870"/>
                <w:tab w:val="clear" w:pos="9794"/>
                <w:tab w:val="clear" w:pos="10718"/>
                <w:tab w:val="clear" w:pos="11659"/>
                <w:tab w:val="clear" w:pos="13171"/>
              </w:tabs>
              <w:spacing w:after="0"/>
              <w:rPr>
                <w:bCs/>
                <w:spacing w:val="-2"/>
                <w:sz w:val="20"/>
                <w:szCs w:val="26"/>
              </w:rPr>
            </w:pPr>
          </w:p>
        </w:tc>
        <w:tc>
          <w:tcPr>
            <w:tcW w:w="2500" w:type="pct"/>
          </w:tcPr>
          <w:p w:rsidR="00D27449" w:rsidRPr="00E67A0E" w:rsidRDefault="00D27449" w:rsidP="00CC5099">
            <w:pPr>
              <w:pStyle w:val="9pirmstab3"/>
              <w:tabs>
                <w:tab w:val="clear" w:pos="3259"/>
                <w:tab w:val="clear" w:pos="4200"/>
                <w:tab w:val="clear" w:pos="5141"/>
                <w:tab w:val="clear" w:pos="6082"/>
                <w:tab w:val="clear" w:pos="7022"/>
                <w:tab w:val="clear" w:pos="7963"/>
                <w:tab w:val="clear" w:pos="8870"/>
                <w:tab w:val="clear" w:pos="9794"/>
                <w:tab w:val="clear" w:pos="10718"/>
                <w:tab w:val="clear" w:pos="11659"/>
                <w:tab w:val="clear" w:pos="13171"/>
              </w:tabs>
              <w:spacing w:after="0"/>
              <w:rPr>
                <w:bCs/>
                <w:spacing w:val="-2"/>
                <w:sz w:val="20"/>
                <w:szCs w:val="26"/>
              </w:rPr>
            </w:pPr>
            <w:r w:rsidRPr="00E67A0E">
              <w:rPr>
                <w:bCs/>
                <w:spacing w:val="-2"/>
                <w:sz w:val="20"/>
                <w:szCs w:val="26"/>
              </w:rPr>
              <w:t>201</w:t>
            </w:r>
            <w:r>
              <w:rPr>
                <w:bCs/>
                <w:spacing w:val="-2"/>
                <w:sz w:val="20"/>
                <w:szCs w:val="26"/>
              </w:rPr>
              <w:t>0</w:t>
            </w:r>
            <w:r w:rsidRPr="00E67A0E">
              <w:rPr>
                <w:bCs/>
                <w:spacing w:val="-2"/>
                <w:sz w:val="20"/>
                <w:szCs w:val="26"/>
              </w:rPr>
              <w:t>.gadā</w:t>
            </w:r>
          </w:p>
        </w:tc>
      </w:tr>
      <w:tr w:rsidR="00D27449" w:rsidRPr="00E67A0E" w:rsidTr="00CC5099">
        <w:trPr>
          <w:trHeight w:val="3126"/>
        </w:trPr>
        <w:tc>
          <w:tcPr>
            <w:tcW w:w="2500" w:type="pct"/>
          </w:tcPr>
          <w:p w:rsidR="00D27449" w:rsidRPr="00E67A0E" w:rsidRDefault="00D27449" w:rsidP="00CC5099">
            <w:pPr>
              <w:rPr>
                <w:rFonts w:cs="Times New Roman"/>
                <w:sz w:val="26"/>
                <w:szCs w:val="26"/>
              </w:rPr>
            </w:pPr>
            <w:r w:rsidRPr="00E67A0E">
              <w:rPr>
                <w:rFonts w:cs="Times New Roman"/>
                <w:noProof/>
                <w:sz w:val="26"/>
                <w:szCs w:val="26"/>
                <w:lang w:eastAsia="lv-LV"/>
              </w:rPr>
              <w:drawing>
                <wp:inline distT="0" distB="0" distL="0" distR="0" wp14:anchorId="43BFB3E6" wp14:editId="2C655074">
                  <wp:extent cx="2020186" cy="1711842"/>
                  <wp:effectExtent l="0" t="0" r="0" b="317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c>
          <w:tcPr>
            <w:tcW w:w="2500" w:type="pct"/>
          </w:tcPr>
          <w:p w:rsidR="00D27449" w:rsidRPr="00E67A0E" w:rsidRDefault="00D27449" w:rsidP="00CC5099">
            <w:pPr>
              <w:jc w:val="center"/>
              <w:rPr>
                <w:rFonts w:cs="Times New Roman"/>
                <w:sz w:val="26"/>
                <w:szCs w:val="26"/>
              </w:rPr>
            </w:pPr>
            <w:r w:rsidRPr="00E67A0E">
              <w:rPr>
                <w:rFonts w:cs="Times New Roman"/>
                <w:noProof/>
                <w:sz w:val="26"/>
                <w:szCs w:val="26"/>
                <w:lang w:eastAsia="lv-LV"/>
              </w:rPr>
              <w:drawing>
                <wp:inline distT="0" distB="0" distL="0" distR="0" wp14:anchorId="45CC3A12" wp14:editId="46DCACC4">
                  <wp:extent cx="3476847" cy="1711842"/>
                  <wp:effectExtent l="0" t="0" r="0" b="317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rsidR="006505C1" w:rsidRPr="00E67A0E" w:rsidRDefault="006505C1" w:rsidP="006505C1">
      <w:r w:rsidRPr="00E67A0E">
        <w:t>Jāatzīmē, ka pēdējo 1</w:t>
      </w:r>
      <w:r w:rsidR="00D27449">
        <w:t>3</w:t>
      </w:r>
      <w:r w:rsidRPr="00E67A0E">
        <w:t xml:space="preserve"> gadu laikā ir notikušas pozitīvas pārmaiņas – samazinājies zemo tehnoloģiju nozaru īpatsvars par labu vidēji zemo tehnoloģiju nozarēm, bet </w:t>
      </w:r>
      <w:r w:rsidR="001E001A">
        <w:t>minimāli</w:t>
      </w:r>
      <w:r w:rsidRPr="00E67A0E">
        <w:t xml:space="preserve"> pieaugusi augsto un vidēji augsto tehnoloģiju nozaru  daļa. Tas ir viens  no industriālās politikas izaicinājumiem. </w:t>
      </w:r>
    </w:p>
    <w:p w:rsidR="006505C1" w:rsidRPr="00E67A0E" w:rsidRDefault="006505C1" w:rsidP="006505C1">
      <w:r w:rsidRPr="00E67A0E">
        <w:t xml:space="preserve">Rūpniecības struktūra nosaka Latvijas eksporta struktūru. Latvijas eksporta struktūrā var izdalīt piecas lielākās preču grupas, kuras veido 70% no kopējā preču eksporta. Lielākā grupa  ir </w:t>
      </w:r>
      <w:r w:rsidRPr="00E67A0E">
        <w:rPr>
          <w:i/>
        </w:rPr>
        <w:t>koksne un tās izstrādājumi</w:t>
      </w:r>
      <w:r w:rsidRPr="00E67A0E">
        <w:t xml:space="preserve"> (16.8% 2011.gadā), gandrīz tik pat </w:t>
      </w:r>
      <w:r w:rsidRPr="00E67A0E">
        <w:rPr>
          <w:i/>
        </w:rPr>
        <w:t>lauksaimniecības un pārtikas produkti</w:t>
      </w:r>
      <w:r w:rsidRPr="00E67A0E">
        <w:t xml:space="preserve"> (16.4%), nedaudz atpaliek metāli un to izstrādājumi (14.5%), </w:t>
      </w:r>
      <w:r w:rsidRPr="00E67A0E">
        <w:rPr>
          <w:i/>
        </w:rPr>
        <w:t xml:space="preserve">mašīnbūves produkcijas un elektroiekārtu, </w:t>
      </w:r>
      <w:r w:rsidRPr="00E67A0E">
        <w:t xml:space="preserve">kā arī </w:t>
      </w:r>
      <w:r w:rsidRPr="00E67A0E">
        <w:rPr>
          <w:i/>
        </w:rPr>
        <w:t>ķīmiskās rūpniecības un tās saskarnozaru produkcija</w:t>
      </w:r>
      <w:r w:rsidR="000714A9" w:rsidRPr="00E67A0E">
        <w:rPr>
          <w:i/>
        </w:rPr>
        <w:t>s</w:t>
      </w:r>
      <w:r w:rsidRPr="00E67A0E">
        <w:rPr>
          <w:i/>
        </w:rPr>
        <w:t xml:space="preserve"> </w:t>
      </w:r>
      <w:r w:rsidRPr="00E67A0E">
        <w:t>daļa ir nedaudz zemāka (attiecīgi 12.7% un 10,5%).</w:t>
      </w:r>
    </w:p>
    <w:p w:rsidR="006505C1" w:rsidRPr="00E67A0E" w:rsidRDefault="006505C1" w:rsidP="006505C1">
      <w:r w:rsidRPr="00E67A0E">
        <w:lastRenderedPageBreak/>
        <w:t>Neraugoties uz to, ka eksporta struktūrā izceļas šīs 5 preču grupas, runājot par ražošanas klasteriem</w:t>
      </w:r>
      <w:r w:rsidR="00807192">
        <w:rPr>
          <w:rStyle w:val="FootnoteReference"/>
        </w:rPr>
        <w:footnoteReference w:id="3"/>
      </w:r>
      <w:r w:rsidRPr="00E67A0E">
        <w:t xml:space="preserve">, Latvijas gadījumā </w:t>
      </w:r>
      <w:r w:rsidR="000714A9" w:rsidRPr="00E67A0E">
        <w:t>vērojami</w:t>
      </w:r>
      <w:r w:rsidRPr="00E67A0E">
        <w:t xml:space="preserve"> tikai </w:t>
      </w:r>
      <w:r w:rsidR="00D27449">
        <w:t>divi</w:t>
      </w:r>
      <w:r w:rsidRPr="00E67A0E">
        <w:t xml:space="preserve"> izteikti</w:t>
      </w:r>
      <w:r w:rsidR="009466CF">
        <w:t xml:space="preserve"> nozaru</w:t>
      </w:r>
      <w:r w:rsidRPr="00E67A0E">
        <w:t xml:space="preserve"> klasteri – </w:t>
      </w:r>
      <w:r w:rsidRPr="00E67A0E">
        <w:rPr>
          <w:i/>
        </w:rPr>
        <w:t>meža un kokapstrādes</w:t>
      </w:r>
      <w:r w:rsidRPr="00E67A0E">
        <w:t xml:space="preserve"> un </w:t>
      </w:r>
      <w:r w:rsidRPr="00E67A0E">
        <w:rPr>
          <w:i/>
        </w:rPr>
        <w:t>lauksaimniecības un pārtikas</w:t>
      </w:r>
      <w:r w:rsidRPr="00E67A0E">
        <w:t>.</w:t>
      </w:r>
      <w:r w:rsidR="00807192">
        <w:t xml:space="preserve"> </w:t>
      </w:r>
      <w:r w:rsidR="00821919" w:rsidRPr="00821919">
        <w:t xml:space="preserve">Šo saikni raksturo </w:t>
      </w:r>
      <w:r w:rsidR="00F13C5D" w:rsidRPr="00DA1480">
        <w:t>blīvuma</w:t>
      </w:r>
      <w:r w:rsidR="00F13C5D" w:rsidRPr="004F030D">
        <w:rPr>
          <w:b/>
        </w:rPr>
        <w:t xml:space="preserve"> (</w:t>
      </w:r>
      <w:r w:rsidR="00821919" w:rsidRPr="00E45B3B">
        <w:rPr>
          <w:i/>
        </w:rPr>
        <w:t>density</w:t>
      </w:r>
      <w:r w:rsidR="00F13C5D">
        <w:rPr>
          <w:i/>
        </w:rPr>
        <w:t>)</w:t>
      </w:r>
      <w:r w:rsidR="00821919" w:rsidRPr="00821919">
        <w:t xml:space="preserve"> rādītājs, kas tiek izmantot preču telpas ekonomiskās analīzes koncepcijās. Šīm nozarēm ir novērojama izteikti cieša produktu saistība, kā arī nozarēs pastāv darba spēka un zinātnes prasmju un spēju kopums. </w:t>
      </w:r>
      <w:r w:rsidR="007003FB" w:rsidRPr="007003FB">
        <w:t>Pārējo nozaru ražošana biznesa struktūra ir ar vāji izteiktiem savstarpējiem sakariem ar citiem iekšzemes uzņēmumiem un nozarēm.</w:t>
      </w:r>
      <w:r w:rsidR="00D27449">
        <w:t xml:space="preserve"> </w:t>
      </w:r>
      <w:r w:rsidR="00D27449" w:rsidRPr="00D27449">
        <w:t xml:space="preserve">Kā atzīmēts </w:t>
      </w:r>
      <w:r w:rsidR="00821919">
        <w:t>z</w:t>
      </w:r>
      <w:r w:rsidR="00D27449" w:rsidRPr="00D27449">
        <w:t>iņojumā par Latvijas konkurētspēju, Latvijas tautsaimniecībā nodarbinātības struktūras ziņā pašlaik nav raksturīgi spēcīgi klasteru specializācijas līmeņi. Arī Globālās konkurētspējas ziņojumā 2012-2013 pēc klasteru attīstības rādītāja Latvija ir ierindota 99. vietā</w:t>
      </w:r>
      <w:r w:rsidR="00E45B3B">
        <w:rPr>
          <w:rStyle w:val="FootnoteReference"/>
        </w:rPr>
        <w:footnoteReference w:id="4"/>
      </w:r>
    </w:p>
    <w:p w:rsidR="001E001A" w:rsidRDefault="006505C1" w:rsidP="006505C1">
      <w:r w:rsidRPr="00E67A0E">
        <w:t>Latvijas eksporta struktūrā pārsvarā ir zemo vai vidēji zemo tehnoloģiju nozaru produkcija, tā</w:t>
      </w:r>
      <w:r w:rsidR="00AA76F2">
        <w:t>pēc eksporta ienesīgums</w:t>
      </w:r>
      <w:r w:rsidR="00AA76F2">
        <w:rPr>
          <w:rStyle w:val="FootnoteReference"/>
        </w:rPr>
        <w:footnoteReference w:id="5"/>
      </w:r>
      <w:r w:rsidR="00AA76F2">
        <w:t xml:space="preserve"> ir zems</w:t>
      </w:r>
      <w:r w:rsidRPr="00E67A0E">
        <w:t xml:space="preserve">. Saskaņā ar R. Hausmana un B. Klingera pieeju (turpmāk tekstā H-K pieeja), kas tika izmantota  produktu telpas izvērtēšanai, eksporta ienesīgums zināmā mērā raksturo valsts eksporta groza preču ražošanas produktivitāti. </w:t>
      </w:r>
      <w:r w:rsidR="00F2585F" w:rsidRPr="00F2585F">
        <w:t>Tāpēc eksporta ienesīguma paaugstināšana (produktivitātes palielināšana – kopīgie ienākumi (darba alga, peļņa un nodokļi) uz vienu strādājošo) ir svarīgs moments valsts iedzīvotāju labklājības paaugstināšanai</w:t>
      </w:r>
      <w:r w:rsidRPr="00E67A0E">
        <w:t>.</w:t>
      </w:r>
      <w:r w:rsidR="00D27449" w:rsidRPr="00D27449">
        <w:t xml:space="preserve"> </w:t>
      </w:r>
      <w:r w:rsidR="00821919" w:rsidRPr="00821919">
        <w:t xml:space="preserve">Tas nozīmē, ka jo vairāk valsts eksportē preces, kas līdzīgas tām precēm, kuras eksportē valstis ar augstu ienākumu līmeni, jo ticamāk, ka laika gaitā pieaugs arī šīs valsts iedzīvotāju ienākumu līmenis. </w:t>
      </w:r>
    </w:p>
    <w:p w:rsidR="006505C1" w:rsidRPr="002C06E3" w:rsidRDefault="00821919" w:rsidP="006505C1">
      <w:r w:rsidRPr="002C06E3">
        <w:t>Pāreja uz augstāk</w:t>
      </w:r>
      <w:r w:rsidR="000665FC">
        <w:t>u</w:t>
      </w:r>
      <w:r w:rsidRPr="002C06E3">
        <w:t xml:space="preserve"> ienesīgumu nozīmē pirmkārt veicināt izmaiņas ekonomikā palielinot produkcijas pievienotās vērtības daļu kopējā eksporta apjomā, ko var panākt arī ar uzņēmumu iesaistīšanos globālajā vērtības ķēdēs</w:t>
      </w:r>
      <w:r w:rsidR="00406EF2" w:rsidRPr="002C06E3">
        <w:t>.</w:t>
      </w:r>
      <w:r w:rsidR="00411E44" w:rsidRPr="002C06E3">
        <w:t xml:space="preserve"> Kā piemērs iesaistei vērtību ķēdēs ir minams </w:t>
      </w:r>
      <w:r w:rsidR="001E001A" w:rsidRPr="002C06E3">
        <w:t>viens no gumijas ražošanas uzņēmumiem</w:t>
      </w:r>
      <w:r w:rsidR="00411E44" w:rsidRPr="002C06E3">
        <w:t xml:space="preserve">, </w:t>
      </w:r>
      <w:r w:rsidR="0075293A" w:rsidRPr="002C06E3">
        <w:t>kurš ir</w:t>
      </w:r>
      <w:r w:rsidR="00411E44" w:rsidRPr="002C06E3">
        <w:t xml:space="preserve"> </w:t>
      </w:r>
      <w:r w:rsidR="0075293A" w:rsidRPr="002C06E3">
        <w:t>iekļuvis pasaules</w:t>
      </w:r>
      <w:r w:rsidR="00411E44" w:rsidRPr="002C06E3">
        <w:t xml:space="preserve"> </w:t>
      </w:r>
      <w:r w:rsidR="0075293A" w:rsidRPr="002C06E3">
        <w:t xml:space="preserve">viena no lielākajiem dzelzceļa būvniecības uzņēmumu tiešās piegādes ķēdē, vai </w:t>
      </w:r>
      <w:r w:rsidR="001E001A" w:rsidRPr="002C06E3">
        <w:t>no farmācijas nozares uzņēmumiem</w:t>
      </w:r>
      <w:r w:rsidR="0075293A" w:rsidRPr="002C06E3">
        <w:t>, kas ir iekļauts vadoša Eiropas sadzīves ķīmijas ražojošā uzņēmuma pamata piegādes ķēdē.</w:t>
      </w:r>
    </w:p>
    <w:p w:rsidR="007003FB" w:rsidRDefault="007003FB" w:rsidP="007003FB">
      <w:r>
        <w:t xml:space="preserve">Latvijas apstrādes rūpniecības produktivitāte ir zemāka par tautsaimniecības kopējo rādītāju un tā ir viena no zemākām ES valstu starpā. </w:t>
      </w:r>
    </w:p>
    <w:p w:rsidR="007003FB" w:rsidRDefault="00D27449" w:rsidP="007003FB">
      <w:pPr>
        <w:jc w:val="right"/>
      </w:pPr>
      <w:r>
        <w:t>3</w:t>
      </w:r>
      <w:r w:rsidR="007003FB">
        <w:t>.attēls</w:t>
      </w:r>
    </w:p>
    <w:p w:rsidR="007003FB" w:rsidRPr="00851916" w:rsidRDefault="007003FB" w:rsidP="007003FB">
      <w:pPr>
        <w:jc w:val="center"/>
        <w:rPr>
          <w:b/>
        </w:rPr>
      </w:pPr>
      <w:r w:rsidRPr="00851916">
        <w:rPr>
          <w:b/>
        </w:rPr>
        <w:t>Apstrādes rūpniecības produktivitāte</w:t>
      </w:r>
    </w:p>
    <w:p w:rsidR="007003FB" w:rsidRDefault="007003FB" w:rsidP="007003FB">
      <w:pPr>
        <w:jc w:val="center"/>
      </w:pPr>
      <w:r>
        <w:t>(% no ES vidējā līmeņa)</w:t>
      </w:r>
    </w:p>
    <w:p w:rsidR="007003FB" w:rsidRPr="00E67A0E" w:rsidRDefault="007003FB" w:rsidP="007003FB">
      <w:pPr>
        <w:jc w:val="center"/>
      </w:pPr>
      <w:r w:rsidRPr="00695CBD">
        <w:rPr>
          <w:noProof/>
          <w:highlight w:val="green"/>
          <w:lang w:eastAsia="lv-LV"/>
        </w:rPr>
        <w:drawing>
          <wp:inline distT="0" distB="0" distL="0" distR="0" wp14:anchorId="1ADCA815" wp14:editId="1E28EF0B">
            <wp:extent cx="4025735" cy="1282535"/>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505C1" w:rsidRPr="00E67A0E" w:rsidRDefault="006505C1" w:rsidP="006505C1">
      <w:r w:rsidRPr="00E67A0E">
        <w:lastRenderedPageBreak/>
        <w:t xml:space="preserve">Lai novērtētu Latvijas eksporta groza ienesīgumu un iespējas to paaugstināt Latvijas konkurētspējas novērtējuma ietvaros tika veikts padziļināts pētījums </w:t>
      </w:r>
      <w:r w:rsidRPr="00E67A0E">
        <w:rPr>
          <w:i/>
        </w:rPr>
        <w:t>Preču telpas analīze un strukturālās transformācijas iespējas Latvijā</w:t>
      </w:r>
      <w:r w:rsidR="00174D36" w:rsidRPr="00E67A0E">
        <w:rPr>
          <w:rStyle w:val="FootnoteReference"/>
          <w:i/>
        </w:rPr>
        <w:footnoteReference w:id="6"/>
      </w:r>
      <w:r w:rsidRPr="00E67A0E">
        <w:t>. Pētījums balstījās uz H-K pie</w:t>
      </w:r>
      <w:r w:rsidR="006A5DC0" w:rsidRPr="00E67A0E">
        <w:t>e</w:t>
      </w:r>
      <w:r w:rsidRPr="00E67A0E">
        <w:t xml:space="preserve">ju. Pētījuma galvenais secinājums ir, ka darba ražīguma celšanai nepieciešama valsts ražošanas struktūras transformācija, proti, process, ko dažkārt dēvē par "kāpšanu augšup pa tehnoloģijas kāpnēm". </w:t>
      </w:r>
      <w:r w:rsidRPr="004F030D">
        <w:t>Valstij pamazām jāatsakās no konkurences priekšrocībām, kuru pamatā ir zemākas izmaksas, un jāpāriet uz konkurences priekšrocībām, ko nodrošina sarežģītāku preču ražošana ar augstāku pievienoto vērtību.</w:t>
      </w:r>
      <w:r w:rsidRPr="00E67A0E">
        <w:t xml:space="preserve"> Svarīgi ir, lai </w:t>
      </w:r>
      <w:r w:rsidR="00C35315">
        <w:t>pārejas</w:t>
      </w:r>
      <w:r w:rsidRPr="00E67A0E">
        <w:t xml:space="preserve"> process notiktu straujāk nekā tas process, kas saistīts ar konkurētspējas zaudēšanu zemo izmaksu sektoros. </w:t>
      </w:r>
    </w:p>
    <w:p w:rsidR="006505C1" w:rsidRPr="00E67A0E" w:rsidRDefault="006505C1" w:rsidP="006505C1">
      <w:pPr>
        <w:ind w:firstLine="567"/>
        <w:rPr>
          <w:szCs w:val="28"/>
        </w:rPr>
      </w:pPr>
      <w:r w:rsidRPr="00E67A0E">
        <w:rPr>
          <w:szCs w:val="28"/>
        </w:rPr>
        <w:t xml:space="preserve">Vienlaikus pētījuma secinājumos tiek atzīmēts, ka tas, cik veiksmīgi un ātri katra valsts var palielināt savas ražošanas jaudas, ir atkarīgs no tās stāvokļa preču telpā. Proti, vai attiecīgā valsts ražo pietiekami daudz preču, kas ļauj bez grūtībām pāriet uz augstākas pievienotās vērtības preču ražošanu. H-K </w:t>
      </w:r>
      <w:r w:rsidR="00B3735D" w:rsidRPr="00E67A0E">
        <w:rPr>
          <w:szCs w:val="28"/>
        </w:rPr>
        <w:t>pieeja</w:t>
      </w:r>
      <w:r w:rsidRPr="00E67A0E">
        <w:rPr>
          <w:szCs w:val="28"/>
        </w:rPr>
        <w:t xml:space="preserve"> balstās uz pamat</w:t>
      </w:r>
      <w:r w:rsidR="0075293A">
        <w:rPr>
          <w:szCs w:val="28"/>
        </w:rPr>
        <w:t>a</w:t>
      </w:r>
      <w:r w:rsidRPr="00E67A0E">
        <w:rPr>
          <w:szCs w:val="28"/>
        </w:rPr>
        <w:t xml:space="preserve"> pieņēmumu, ka transformācija notiek veiksmīgāk un ātrāk, ja lielāka ienesīguma preces tehnoloģiski vai ražošanas faktoru ziņā ir tuvas esošām ražotām preču grupām (speciāls H-K </w:t>
      </w:r>
      <w:r w:rsidR="00E17675" w:rsidRPr="00E67A0E">
        <w:rPr>
          <w:szCs w:val="28"/>
        </w:rPr>
        <w:t>pieejas</w:t>
      </w:r>
      <w:r w:rsidRPr="00E67A0E">
        <w:rPr>
          <w:szCs w:val="28"/>
        </w:rPr>
        <w:t xml:space="preserve"> preču grupas ražošanas blīvuma rādītājs). Tādējādi strukturālās transformācijas process ir zināmā mērā iepriekš noteikts. Savukārt, ekonomikas politika, ja tā tiek veiksmīgi īstenota, var paātrināt strukturālo konverģenci vēl vairāk, nekā to varētu gaidīt, ņemot vērā valsts esošo preču telpu. </w:t>
      </w:r>
    </w:p>
    <w:p w:rsidR="006505C1" w:rsidRPr="00E67A0E" w:rsidRDefault="006505C1" w:rsidP="006505C1">
      <w:r w:rsidRPr="00E67A0E">
        <w:t>Ja kādas preču grupas ražošana ir saistīta ar valstī esošo</w:t>
      </w:r>
      <w:r w:rsidR="0075293A">
        <w:t xml:space="preserve"> nozares </w:t>
      </w:r>
      <w:r w:rsidRPr="00E67A0E">
        <w:t>klasteri, tad strukturālās transformācijas process notiek straujāk, jo ir vairākas saistītās nozares/produkti un lielāka mēroga iespējas (mazāks laiks nepieciešamās infrastruktūras izveidei, zināšanu apguvei vai darbaspēka apmācībām).  Tādejādi attīstītu klasteru esamība ir būtisks strukturālās transformācijas priekšnosacījums.</w:t>
      </w:r>
      <w:r w:rsidR="00C35315">
        <w:t xml:space="preserve"> </w:t>
      </w:r>
    </w:p>
    <w:p w:rsidR="006505C1" w:rsidRDefault="006505C1" w:rsidP="006505C1">
      <w:r w:rsidRPr="00E67A0E">
        <w:t xml:space="preserve">Industriālās politikas mērķa sasniegšanai, veicinot ražošanas strukturālās izmaiņas (transformāciju) uz augstāku </w:t>
      </w:r>
      <w:r w:rsidR="00AA76F2">
        <w:t>ienesīgumu</w:t>
      </w:r>
      <w:r w:rsidRPr="00E67A0E">
        <w:t>, arvien lielāka uzmanība ir jāpievērš saistīto nozaru (klasteru) attīstības iespējām kā nacionālajā, tā arī starptautiskajā kontekstā</w:t>
      </w:r>
      <w:r w:rsidR="00AA76F2">
        <w:t xml:space="preserve">, kā arī Latvijas </w:t>
      </w:r>
      <w:r w:rsidR="00315A11" w:rsidRPr="00DA1480">
        <w:t>komersantu</w:t>
      </w:r>
      <w:r w:rsidR="00315A11">
        <w:t xml:space="preserve"> </w:t>
      </w:r>
      <w:r w:rsidR="00AA76F2">
        <w:t>vietai vērtību ķēdēs</w:t>
      </w:r>
      <w:r w:rsidRPr="00E67A0E">
        <w:t>.</w:t>
      </w:r>
      <w:r w:rsidR="00D27449">
        <w:t xml:space="preserve"> </w:t>
      </w:r>
      <w:r w:rsidR="00D27449" w:rsidRPr="00D27449">
        <w:t>Kad uzņēmumi un piegādātāji konkrētajā nozarē ir savstarpēji saistīti ģeogrāfiski tuvākajās grupās, ko sauc</w:t>
      </w:r>
      <w:r w:rsidR="001A02EE">
        <w:t xml:space="preserve"> par</w:t>
      </w:r>
      <w:r w:rsidR="00D27449" w:rsidRPr="00D27449">
        <w:t xml:space="preserve"> klasteriem, tiek paaugstināta ražošanas efektivitāte, kā arī tiek radītas lielākas iespējas produktu un procesu inovācijai. Klasteri rada labumu, izmantojot pieeju specializētiem piegādātājiem, pakalpojumu sniedzējiem, </w:t>
      </w:r>
      <w:r w:rsidR="001A02EE">
        <w:t>resursu</w:t>
      </w:r>
      <w:r w:rsidR="00D27449" w:rsidRPr="00D27449">
        <w:t xml:space="preserve"> izlietojumam, idejām un citiem ārējiem efektiem.</w:t>
      </w:r>
      <w:r w:rsidR="00AA76F2">
        <w:t xml:space="preserve"> </w:t>
      </w:r>
    </w:p>
    <w:p w:rsidR="00AA76F2" w:rsidRDefault="00AA76F2" w:rsidP="006505C1">
      <w:r>
        <w:t>Savukārt darbība vērtību ķēdēs nodrošina eksporta izaugsmi un augstāku ienesīgumu. Tā piemēram, augstāku ienesīgumu var iegūt Latvijas uzņēmums, kurš darbojas autoražotāja tiešajā piegādes ķēdē, nevis tiek uztverts, kā viens no piegādātājiem</w:t>
      </w:r>
      <w:r w:rsidR="000F3AA6">
        <w:t xml:space="preserve"> vērtību ķēdē esošam uzņēmumam. Šādu efektu vēlas panākt viens no Latvijā pazīstamiem kokrūpniecības sektora uzņēmumiem, kurš veic izejvielu piegādi autorūpniecības sektoram izmantojot piegādes ķēdē esošu starpnieku.</w:t>
      </w:r>
    </w:p>
    <w:p w:rsidR="009D09CD" w:rsidRDefault="009D09CD" w:rsidP="009D09CD">
      <w:r>
        <w:lastRenderedPageBreak/>
        <w:t xml:space="preserve">Vēl viens aspekts, kas jāņem vērā stimulējot </w:t>
      </w:r>
      <w:r w:rsidR="00315A11" w:rsidRPr="00DA1480">
        <w:t>komersantus</w:t>
      </w:r>
      <w:r w:rsidR="00315A11">
        <w:t xml:space="preserve"> </w:t>
      </w:r>
      <w:r>
        <w:t xml:space="preserve">uz augstākas pievienotās vērtības produktu ražošanu, ir apstāklis, ka Latvijas rūpniecības uzņēmumi nevar konkurēt masu produkcijas  ražošanā. Latvijas ekonomikas mērogam ir raksturīgas nelielas kompānijas. Tās specifika ir nišas produkti. Nišas produkts – unikāls produkts (ar specifikām lietošanas īpašībām, kas atbilst noteiktai patērētāju grupai), kam nav liels pieprasījums (tā nav masu produkcija), bet to iespējams ražot un realizēt pietiekošā daudzumā, lai gūtu peļņu. </w:t>
      </w:r>
    </w:p>
    <w:p w:rsidR="009D09CD" w:rsidRPr="00E67A0E" w:rsidRDefault="009D09CD" w:rsidP="009D09CD">
      <w:r>
        <w:t>Tātad uzdevums ir atrast konkurences priekšrocības nelielai kompānijai stabilā un ļoti koncentrētā tirgū. Nišas produktu gadījumā konkurences priekšrocības saistītas ar to, ka lielās kompānijas nav ieinteresētas ražot šādus produktus ierobežotā pieprasījuma dēļ.</w:t>
      </w:r>
    </w:p>
    <w:p w:rsidR="006505C1" w:rsidRPr="00E67A0E" w:rsidRDefault="006505C1" w:rsidP="006505C1">
      <w:r w:rsidRPr="00E67A0E">
        <w:t>Industriālās politikas izstrādē svarīgi ir apzināt globālās tendences un izvērtēt to ietekmi uz nozaru strukturālām pārmaiņām.</w:t>
      </w:r>
    </w:p>
    <w:p w:rsidR="006505C1" w:rsidRPr="00E67A0E" w:rsidRDefault="006505C1" w:rsidP="006505C1">
      <w:pPr>
        <w:rPr>
          <w:rStyle w:val="hps"/>
          <w:szCs w:val="28"/>
        </w:rPr>
      </w:pPr>
      <w:r w:rsidRPr="00E67A0E">
        <w:rPr>
          <w:rStyle w:val="hps"/>
          <w:szCs w:val="28"/>
        </w:rPr>
        <w:t>Globālie izaicinājumi maina tradicionālo biznesa modeli un galvenās izpausmes ir:</w:t>
      </w:r>
    </w:p>
    <w:p w:rsidR="006505C1" w:rsidRPr="00E67A0E" w:rsidRDefault="006505C1" w:rsidP="006505C1">
      <w:pPr>
        <w:pStyle w:val="ListParagraph"/>
        <w:numPr>
          <w:ilvl w:val="0"/>
          <w:numId w:val="30"/>
        </w:numPr>
        <w:ind w:left="1134"/>
        <w:rPr>
          <w:szCs w:val="28"/>
        </w:rPr>
      </w:pPr>
      <w:r w:rsidRPr="00E67A0E">
        <w:rPr>
          <w:szCs w:val="28"/>
        </w:rPr>
        <w:t>ražošanas faktoru un kapitāla starptautiskās mobilitātes palielināšanās. Tas nozīmē, ka pieaug konkurence par kvalificētā darbaspēka un kapitāla piesaisti. Ir jābūt īpašiem nosacījumiem, lai ražošanas potenciālu saglabātu un palielinātu;</w:t>
      </w:r>
    </w:p>
    <w:p w:rsidR="006505C1" w:rsidRPr="00E67A0E" w:rsidRDefault="006505C1" w:rsidP="006505C1">
      <w:pPr>
        <w:pStyle w:val="ListParagraph"/>
        <w:numPr>
          <w:ilvl w:val="0"/>
          <w:numId w:val="30"/>
        </w:numPr>
        <w:ind w:left="1134"/>
        <w:rPr>
          <w:szCs w:val="28"/>
        </w:rPr>
      </w:pPr>
      <w:r w:rsidRPr="00E67A0E">
        <w:rPr>
          <w:szCs w:val="28"/>
        </w:rPr>
        <w:t>ražošanas fragmentācija:</w:t>
      </w:r>
    </w:p>
    <w:p w:rsidR="006505C1" w:rsidRPr="00E67A0E" w:rsidRDefault="006505C1" w:rsidP="006505C1">
      <w:pPr>
        <w:pStyle w:val="ListParagraph"/>
        <w:numPr>
          <w:ilvl w:val="1"/>
          <w:numId w:val="30"/>
        </w:numPr>
        <w:ind w:left="1701"/>
        <w:rPr>
          <w:szCs w:val="28"/>
        </w:rPr>
      </w:pPr>
      <w:r w:rsidRPr="00E67A0E">
        <w:rPr>
          <w:szCs w:val="28"/>
        </w:rPr>
        <w:t>piegādes un ražošanas ķēdes kļūst daudz izsmalcinātākas. Pateicoties transporta infrastruktūras un informāciju tehnoloģiju attīstībai un izmaksu mazināšanai, iepriekš ļoti koncentr</w:t>
      </w:r>
      <w:r w:rsidR="000714A9" w:rsidRPr="00E67A0E">
        <w:rPr>
          <w:szCs w:val="28"/>
        </w:rPr>
        <w:t>ē</w:t>
      </w:r>
      <w:r w:rsidRPr="00E67A0E">
        <w:rPr>
          <w:szCs w:val="28"/>
        </w:rPr>
        <w:t>tā ražošana tiek sadalīta (ģeogrāfiski fragmentēta), izmantojot izvietošanas val</w:t>
      </w:r>
      <w:r w:rsidR="000714A9" w:rsidRPr="00E67A0E">
        <w:rPr>
          <w:szCs w:val="28"/>
        </w:rPr>
        <w:t>sts salīdzinošās priekšrocības</w:t>
      </w:r>
      <w:r w:rsidRPr="00E67A0E">
        <w:rPr>
          <w:szCs w:val="28"/>
        </w:rPr>
        <w:t>;</w:t>
      </w:r>
    </w:p>
    <w:p w:rsidR="006505C1" w:rsidRPr="00E67A0E" w:rsidRDefault="006505C1" w:rsidP="006505C1">
      <w:pPr>
        <w:pStyle w:val="ListParagraph"/>
        <w:numPr>
          <w:ilvl w:val="1"/>
          <w:numId w:val="30"/>
        </w:numPr>
        <w:ind w:left="1701"/>
        <w:rPr>
          <w:szCs w:val="28"/>
        </w:rPr>
      </w:pPr>
      <w:r w:rsidRPr="00E67A0E">
        <w:rPr>
          <w:szCs w:val="28"/>
        </w:rPr>
        <w:t>veidojas valstu specializācija kādā noteiktā nozarē vai arī produkta pievienotās vērtības radīšanas ķēdē</w:t>
      </w:r>
      <w:r w:rsidR="000714A9" w:rsidRPr="00E67A0E">
        <w:rPr>
          <w:szCs w:val="28"/>
        </w:rPr>
        <w:t>;</w:t>
      </w:r>
    </w:p>
    <w:p w:rsidR="006505C1" w:rsidRPr="00E67A0E" w:rsidRDefault="006505C1" w:rsidP="006505C1">
      <w:pPr>
        <w:pStyle w:val="ListParagraph"/>
        <w:numPr>
          <w:ilvl w:val="1"/>
          <w:numId w:val="30"/>
        </w:numPr>
        <w:ind w:left="1701"/>
        <w:rPr>
          <w:szCs w:val="28"/>
        </w:rPr>
      </w:pPr>
      <w:r w:rsidRPr="00E67A0E">
        <w:rPr>
          <w:szCs w:val="28"/>
        </w:rPr>
        <w:t>pastiprinās nozaru (ražošanas) iekšējā specializācija (darba dalīšana). Gala produkta ražošanai svarīga ir izcilība visos līmeņos, piegādātāju un sadarbības p</w:t>
      </w:r>
      <w:r w:rsidR="001A02EE">
        <w:rPr>
          <w:szCs w:val="28"/>
        </w:rPr>
        <w:t>artneru kompetence un inovācija</w:t>
      </w:r>
      <w:r w:rsidRPr="00E67A0E">
        <w:rPr>
          <w:szCs w:val="28"/>
        </w:rPr>
        <w:t xml:space="preserve"> kā saistītajās nozarēs, tā arī dažādos reģionos;</w:t>
      </w:r>
    </w:p>
    <w:p w:rsidR="006505C1" w:rsidRPr="00E67A0E" w:rsidRDefault="006505C1" w:rsidP="006505C1">
      <w:pPr>
        <w:pStyle w:val="ListParagraph"/>
        <w:numPr>
          <w:ilvl w:val="0"/>
          <w:numId w:val="30"/>
        </w:numPr>
        <w:ind w:left="1134"/>
        <w:rPr>
          <w:szCs w:val="28"/>
        </w:rPr>
      </w:pPr>
      <w:r w:rsidRPr="00E67A0E">
        <w:rPr>
          <w:szCs w:val="28"/>
        </w:rPr>
        <w:t>strauji augošas jaunās industriālās valstis ar izteikti lētā darbaspēka priekšrocībām;</w:t>
      </w:r>
    </w:p>
    <w:p w:rsidR="006505C1" w:rsidRPr="00E67A0E" w:rsidRDefault="006505C1" w:rsidP="006505C1">
      <w:pPr>
        <w:pStyle w:val="ListParagraph"/>
        <w:numPr>
          <w:ilvl w:val="0"/>
          <w:numId w:val="30"/>
        </w:numPr>
        <w:ind w:left="1134"/>
        <w:rPr>
          <w:szCs w:val="28"/>
        </w:rPr>
      </w:pPr>
      <w:r w:rsidRPr="00E67A0E">
        <w:rPr>
          <w:szCs w:val="28"/>
        </w:rPr>
        <w:t>tehnoloģiskais progress izvirza jaunas prasības konkurētspējīgu priekšrocību veidošanai. Lielākas prasības tiek izvirzītas institucionālai infrastruktūrai. Tai jābūt attīstītai un, kas īpaši svarīgi, piemērotai (drau</w:t>
      </w:r>
      <w:r w:rsidR="001A02EE">
        <w:rPr>
          <w:szCs w:val="28"/>
        </w:rPr>
        <w:t>dzīgai) tehnoloģiju un inovācijas</w:t>
      </w:r>
      <w:r w:rsidRPr="00E67A0E">
        <w:rPr>
          <w:szCs w:val="28"/>
        </w:rPr>
        <w:t xml:space="preserve"> veicināšanai.</w:t>
      </w:r>
    </w:p>
    <w:p w:rsidR="006505C1" w:rsidRPr="00E67A0E" w:rsidRDefault="00EC6974" w:rsidP="006505C1">
      <w:r w:rsidRPr="00E67A0E">
        <w:t xml:space="preserve">Globalizācijas un tehnoloģisko procesu ietekme uz nozarēm nav viendabīga. </w:t>
      </w:r>
      <w:r w:rsidRPr="00E67A0E">
        <w:rPr>
          <w:rFonts w:eastAsia="Calibri"/>
        </w:rPr>
        <w:t xml:space="preserve">Eiropas Komisijas </w:t>
      </w:r>
      <w:r w:rsidRPr="00E67A0E">
        <w:t xml:space="preserve">pētījumā </w:t>
      </w:r>
      <w:r w:rsidRPr="00E67A0E">
        <w:rPr>
          <w:i/>
          <w:color w:val="000000"/>
        </w:rPr>
        <w:t>Measuring and Benchmarking the Structural Adjustment Performance of EU Industry</w:t>
      </w:r>
      <w:r w:rsidR="00174D36" w:rsidRPr="00E67A0E">
        <w:rPr>
          <w:rStyle w:val="FootnoteReference"/>
          <w:i/>
          <w:color w:val="000000"/>
        </w:rPr>
        <w:footnoteReference w:id="7"/>
      </w:r>
      <w:r w:rsidRPr="00E67A0E">
        <w:rPr>
          <w:i/>
          <w:color w:val="000000"/>
        </w:rPr>
        <w:t xml:space="preserve"> </w:t>
      </w:r>
      <w:r w:rsidRPr="00E67A0E">
        <w:t xml:space="preserve">atzīmēts, ka visvājāk globalizācija ietekmē tādas Latvijas eksportam svarīgās nozares kā pārtikas rūpniecība, </w:t>
      </w:r>
      <w:r w:rsidRPr="00E67A0E">
        <w:lastRenderedPageBreak/>
        <w:t xml:space="preserve">kokapstrāde un metālizstrādājumu ražošana. Savukārt spēcīga globalizācijas ietekme </w:t>
      </w:r>
      <w:r w:rsidR="00C35315">
        <w:t>ir un būs vieglajai rūpniecībai un</w:t>
      </w:r>
      <w:r w:rsidRPr="00E67A0E">
        <w:t xml:space="preserve"> metālu ražotājiem. Bet tādas nozares kā ķīmisko rūpniecību, kā arī mašīnbūvi un iekārtu, elektrisko un elektronisko iekārtu un citas augsto tehnoloģiju nozares bez globalizācijas spiediena būtiski ietekmēs arī tehnoloģiju izmaiņas</w:t>
      </w:r>
      <w:r w:rsidR="006505C1" w:rsidRPr="00E67A0E">
        <w:t>.</w:t>
      </w:r>
    </w:p>
    <w:p w:rsidR="006505C1" w:rsidRPr="00DA1480" w:rsidRDefault="006505C1" w:rsidP="006505C1">
      <w:r w:rsidRPr="00E67A0E">
        <w:t xml:space="preserve">Globalizācijas izaicinājumi liek mainīties arī industriālai politikai, kas nevar būt balstīta uz tradicionālo uzskatu par ražošanas sektoru, kā viendabīgu, nacionālo un neatkarīgu. Bez tam svarīgs ir arī mūsu ģeopolitiskais stāvoklis – dalība </w:t>
      </w:r>
      <w:r w:rsidR="00EC6974" w:rsidRPr="00E67A0E">
        <w:t>ES un robežošanās ar NVS</w:t>
      </w:r>
      <w:r w:rsidRPr="00E67A0E">
        <w:t xml:space="preserve">. </w:t>
      </w:r>
      <w:r w:rsidR="007E0544" w:rsidRPr="00E67A0E">
        <w:t xml:space="preserve">Tā </w:t>
      </w:r>
      <w:r w:rsidR="00BB43AE">
        <w:t>EK</w:t>
      </w:r>
      <w:r w:rsidR="007E0544" w:rsidRPr="00E67A0E">
        <w:t xml:space="preserve"> 2012.gada 10.oktobrī ir publicējusi paziņojumu „Spēcīgāka Eiropas rūpniecība izaugsmei un ekonomikas atveseļošanai: Atjaunināts paziņojums par rūpniecības politiku”</w:t>
      </w:r>
      <w:r w:rsidR="00174D36" w:rsidRPr="00E67A0E">
        <w:rPr>
          <w:rStyle w:val="FootnoteReference"/>
        </w:rPr>
        <w:footnoteReference w:id="8"/>
      </w:r>
      <w:r w:rsidR="007E0544" w:rsidRPr="00E67A0E">
        <w:t xml:space="preserve">, kurā ir ietverti četri Eiropas Savienības rūpniecībai svarīgākie pīlāri: ieguldījumu sekmēšana inovācijā un jaunās tehnoloģijās, tirgus nosacījumu uzlabošana, finansējuma pieejamības uzlabošana, </w:t>
      </w:r>
      <w:r w:rsidR="007E0544" w:rsidRPr="00DA1480">
        <w:t>ieguldījumu palielināšana cilvēku kapitālā un prasmēs.</w:t>
      </w:r>
      <w:r w:rsidR="00BB43AE" w:rsidRPr="00DA1480">
        <w:rPr>
          <w:highlight w:val="yellow"/>
        </w:rPr>
        <w:t xml:space="preserve"> </w:t>
      </w:r>
      <w:r w:rsidR="00BB43AE" w:rsidRPr="00DA1480">
        <w:t>EK ierosina ieguldījumus un inovāciju kopīgiem spēkiem koncentrēt sešās prioritārās darbības jomās: progresīvas ražošanas tehnoloģijas, svarīgās pamattehnoloģijas, bioprodukti, ilgtspējīga rūpniecības un būvniecības politika un ilgtspējīgas izejvielas, “tīri” transportlīdzekļi, viedi tīkli.</w:t>
      </w:r>
    </w:p>
    <w:p w:rsidR="00193036" w:rsidRPr="00E67A0E" w:rsidRDefault="00193036" w:rsidP="006505C1"/>
    <w:p w:rsidR="00D50542" w:rsidRPr="00E67A0E" w:rsidRDefault="00D50542" w:rsidP="00D50542">
      <w:pPr>
        <w:pStyle w:val="Heading1"/>
      </w:pPr>
      <w:bookmarkStart w:id="6" w:name="_Toc354732560"/>
      <w:r w:rsidRPr="00E67A0E">
        <w:t>Funkcionālā</w:t>
      </w:r>
      <w:r w:rsidR="00043D6A" w:rsidRPr="00E67A0E">
        <w:t xml:space="preserve">s vides </w:t>
      </w:r>
      <w:r w:rsidR="003C7A03" w:rsidRPr="00E67A0E">
        <w:t>raksturojums</w:t>
      </w:r>
      <w:bookmarkEnd w:id="6"/>
    </w:p>
    <w:p w:rsidR="00D50542" w:rsidRPr="00E67A0E" w:rsidRDefault="003C7A03" w:rsidP="003C7A03">
      <w:pPr>
        <w:rPr>
          <w:b/>
        </w:rPr>
      </w:pPr>
      <w:r w:rsidRPr="00E67A0E">
        <w:t>Industriālās politikas izstrādē būtiski ir ne tikai izprast nozares attīstības</w:t>
      </w:r>
      <w:r w:rsidR="009D09CD">
        <w:t xml:space="preserve"> tendences un </w:t>
      </w:r>
      <w:r w:rsidRPr="00E67A0E">
        <w:t>globālos izaicinājumus. Svarīgi ir skaidri apzināt valsts ekonomiskās priekšrocības  un produktu, finanšu un darba tirgus funkcionālos šķēršļus, kas traucē rūpniecības ilgtspējīgai attīstībai. Funkcionālo šķēršļu novēršanas mērķis ir pilnveidot tirgus spēku darbību, palielinot to spēju adaptēties mainīgiem apstākļiem un stimulēt ekonomiskos subjektus veikt atbilstošo strukturālo pārkārtošanos konkurētspējas paaugstināšanai. Tirgus darbības funkcionālā uzlabošan</w:t>
      </w:r>
      <w:r w:rsidR="000714A9" w:rsidRPr="00E67A0E">
        <w:t>a</w:t>
      </w:r>
      <w:r w:rsidRPr="00E67A0E">
        <w:t xml:space="preserve"> ļauj mazināt tirgus nepilnības, vienlaikus minimizēt valsts intervences nepieciešamību.</w:t>
      </w:r>
    </w:p>
    <w:p w:rsidR="00D50542" w:rsidRPr="00E67A0E" w:rsidRDefault="003C7A03" w:rsidP="003C7A03">
      <w:pPr>
        <w:pStyle w:val="Heading2"/>
      </w:pPr>
      <w:bookmarkStart w:id="7" w:name="_Toc354732561"/>
      <w:r w:rsidRPr="00E67A0E">
        <w:rPr>
          <w:bCs w:val="0"/>
        </w:rPr>
        <w:t>2.</w:t>
      </w:r>
      <w:r w:rsidRPr="00E67A0E">
        <w:t>1. Darba tirgus</w:t>
      </w:r>
      <w:bookmarkEnd w:id="7"/>
    </w:p>
    <w:p w:rsidR="001A30D1" w:rsidRDefault="001A30D1" w:rsidP="003C7A03">
      <w:r w:rsidRPr="001A30D1">
        <w:t>Latvijas darba tirgus elastīgums pēc krīzes periodā bija izšķirošs faktors pašreizējās izaugsmes nodrošināšanā. Tas raksturojās ar darba algu un nodarbinātības samazināšanos atbilstoši spējam izlaides samazinājumam, kas ļāva uzlabot tautsaimniecības konkurētspēju saistībā ar iekšējās devalvācijas pasākumiem. Tomēr turpmākā izaugsme vairs nevar balstīties uz tik drastiskiem pasākumiem un arvien lielāka nozīme būs darba tirgus kvalitatīviem uzlabojumiem, lai reaģētu uz galvenajiem  tautsaimniecības attīstības izaicinājumiem –</w:t>
      </w:r>
      <w:r w:rsidR="00DA1480">
        <w:t xml:space="preserve"> </w:t>
      </w:r>
      <w:r w:rsidR="00577102" w:rsidRPr="001A30D1">
        <w:t>demogrāfi</w:t>
      </w:r>
      <w:r w:rsidR="00577102">
        <w:t>skie procesi</w:t>
      </w:r>
      <w:r w:rsidR="00577102" w:rsidRPr="001A30D1">
        <w:t xml:space="preserve"> (</w:t>
      </w:r>
      <w:r w:rsidR="00577102">
        <w:t xml:space="preserve">zema dzimstība, </w:t>
      </w:r>
      <w:r w:rsidR="00577102" w:rsidRPr="001A30D1">
        <w:t xml:space="preserve"> darbaspēka novecošanās</w:t>
      </w:r>
      <w:r w:rsidR="00577102">
        <w:t xml:space="preserve"> un migrācijas plūsmas</w:t>
      </w:r>
      <w:r w:rsidR="00577102" w:rsidRPr="001A30D1">
        <w:t xml:space="preserve">), darbaspēka izmaksu kāpums, kā arī prasmju piedāvājuma </w:t>
      </w:r>
      <w:r w:rsidR="00577102">
        <w:t xml:space="preserve">un </w:t>
      </w:r>
      <w:r w:rsidR="00577102" w:rsidRPr="001A30D1">
        <w:t>pieprasījuma</w:t>
      </w:r>
      <w:r w:rsidR="00577102">
        <w:t xml:space="preserve"> līdzsvarošana</w:t>
      </w:r>
      <w:r w:rsidRPr="001A30D1">
        <w:t>.</w:t>
      </w:r>
    </w:p>
    <w:p w:rsidR="00480A5C" w:rsidRPr="00480A5C" w:rsidRDefault="00DA1480" w:rsidP="00BD4ED1">
      <w:pPr>
        <w:shd w:val="clear" w:color="auto" w:fill="FFFFFF" w:themeFill="background1"/>
        <w:rPr>
          <w:rFonts w:eastAsia="Calibri"/>
          <w:b/>
        </w:rPr>
      </w:pPr>
      <w:r w:rsidRPr="00480A5C">
        <w:rPr>
          <w:b/>
        </w:rPr>
        <w:lastRenderedPageBreak/>
        <w:t xml:space="preserve">Atbilstoši 2011.gada tautas skaitīšanas datiem, iedzīvotāju skaits 2011.gada 1.janvārī bija par  307,1 tūkst. mazāks nekā 2000.gada sākumā, t.i., ik gadu samazinājums bija par 1.2%. Iedzīvotāju skaita samazinājumu šajā periodā par 2/3 noteica negatīvais migrācijas saldo. </w:t>
      </w:r>
      <w:r w:rsidR="00BD4ED1">
        <w:rPr>
          <w:b/>
        </w:rPr>
        <w:t xml:space="preserve"> </w:t>
      </w:r>
      <w:r w:rsidR="00480A5C" w:rsidRPr="00480A5C">
        <w:rPr>
          <w:rFonts w:eastAsia="Calibri"/>
          <w:b/>
        </w:rPr>
        <w:t xml:space="preserve">Būtiskākā ietekme uz </w:t>
      </w:r>
      <w:r w:rsidR="00480A5C" w:rsidRPr="00480A5C">
        <w:rPr>
          <w:rFonts w:eastAsia="Calibri"/>
          <w:b/>
          <w:color w:val="000000"/>
        </w:rPr>
        <w:t xml:space="preserve">iedzīvotāju skaita </w:t>
      </w:r>
      <w:r w:rsidR="00480A5C" w:rsidRPr="00480A5C">
        <w:rPr>
          <w:rFonts w:eastAsia="Calibri"/>
          <w:b/>
        </w:rPr>
        <w:t xml:space="preserve">samazinājumu pēdējos gados ir bijusi iedzīvotāju ilgtermiņa migrācijai. Kopš 2000.gada migrācijas saldo ir saglabājies negatīvs, kā rezultātā iedzīvotāju skaits samazinājies par 211 tūkst., kas ir vairāk nekā puse no kopējā iedzīvotāju skaita samazinājuma attiecīgajā laika posmā. Līdztekus iedzīvotāju skaita absolūtam samazinājumam, iedzīvotāju emigrācija negatīvi ir ietekmējusi jau tā nelabvēlīgo populācijas vecuma struktūru. Nozīmīgākais iedzīvotāju skaita samazinājums ir bijis ekonomiski aktīvākās vecuma grupās. Tas ir noteicis daudz straujāku darbspējīgo iedzīvotāju skaita samazināšanos un demogrāfiskās slodzes pieaugumu. </w:t>
      </w:r>
    </w:p>
    <w:p w:rsidR="00DA1480" w:rsidRPr="00480A5C" w:rsidRDefault="00DA1480" w:rsidP="00DA1480">
      <w:pPr>
        <w:shd w:val="clear" w:color="auto" w:fill="FFFFFF" w:themeFill="background1"/>
        <w:rPr>
          <w:b/>
        </w:rPr>
      </w:pPr>
      <w:r w:rsidRPr="00480A5C">
        <w:rPr>
          <w:b/>
        </w:rPr>
        <w:t>Atbilstoši EM sagatavotajām darba tirgus vidēja un ilgtermiņa prognozēm</w:t>
      </w:r>
      <w:r w:rsidRPr="00480A5C">
        <w:rPr>
          <w:rStyle w:val="FootnoteReference"/>
          <w:b/>
        </w:rPr>
        <w:footnoteReference w:id="9"/>
      </w:r>
      <w:r w:rsidRPr="00480A5C">
        <w:rPr>
          <w:b/>
        </w:rPr>
        <w:t xml:space="preserve">, iedzīvotāju skaits turpinās samazināties, it īpaši pēc 2013.gada </w:t>
      </w:r>
      <w:r w:rsidRPr="00480A5C">
        <w:rPr>
          <w:b/>
          <w:i/>
        </w:rPr>
        <w:t xml:space="preserve">demogrāfiskās bedres </w:t>
      </w:r>
      <w:r w:rsidRPr="00480A5C">
        <w:rPr>
          <w:b/>
        </w:rPr>
        <w:t xml:space="preserve">dēļ (saistībā ar 90-to gadu zemo dzimstību) un pēdējo gadu būtiskās emigrācijas dēļ, jo emigrēja pārsvarā gados jauni cilvēki.  </w:t>
      </w:r>
      <w:r w:rsidRPr="00480A5C">
        <w:rPr>
          <w:rFonts w:eastAsia="Calibri"/>
          <w:b/>
        </w:rPr>
        <w:t>Ņemot vērā negatīvās demogrāfijas tendences, turpmākajos gados darbaspēka pieejamības jautājumi, attīstoties ekonomikai</w:t>
      </w:r>
      <w:r w:rsidR="00480A5C">
        <w:rPr>
          <w:rFonts w:eastAsia="Calibri"/>
          <w:b/>
        </w:rPr>
        <w:t>, Latvijā kļūs arvien aktuālāki, turklāt šo problēmu tikai nedaudz spēs minimizēt nodarbināto s</w:t>
      </w:r>
      <w:r w:rsidR="00577102">
        <w:rPr>
          <w:rFonts w:eastAsia="Calibri"/>
          <w:b/>
        </w:rPr>
        <w:t>kaita palielināšana darba tirgū</w:t>
      </w:r>
      <w:r w:rsidR="00577102">
        <w:rPr>
          <w:b/>
        </w:rPr>
        <w:t>, vairāk tirgū iesaistot bezdarbniekus un</w:t>
      </w:r>
      <w:r w:rsidR="00577102">
        <w:rPr>
          <w:rFonts w:eastAsia="Calibri"/>
          <w:b/>
        </w:rPr>
        <w:t xml:space="preserve"> </w:t>
      </w:r>
      <w:r w:rsidR="00CA2C66">
        <w:rPr>
          <w:rFonts w:eastAsia="Calibri"/>
          <w:b/>
        </w:rPr>
        <w:t>potenciālo darba tirgus rezervi, kas veidojas no ekonomiski neaktīvajiem iedzīvotājiem (mājsaimnieces</w:t>
      </w:r>
      <w:r w:rsidR="00595E50">
        <w:rPr>
          <w:rFonts w:eastAsia="Calibri"/>
          <w:b/>
        </w:rPr>
        <w:t>/-ki</w:t>
      </w:r>
      <w:r w:rsidR="00CA2C66">
        <w:rPr>
          <w:rFonts w:eastAsia="Calibri"/>
          <w:b/>
        </w:rPr>
        <w:t>, ilgstoši darbnespējīgas personas u.c.).</w:t>
      </w:r>
      <w:r w:rsidR="00480A5C">
        <w:rPr>
          <w:rFonts w:eastAsia="Calibri"/>
          <w:b/>
        </w:rPr>
        <w:t xml:space="preserve"> </w:t>
      </w:r>
      <w:r w:rsidR="00CA2C66">
        <w:rPr>
          <w:b/>
        </w:rPr>
        <w:t>Ekonomikas ministrijai veicot visu</w:t>
      </w:r>
      <w:r w:rsidR="00595E50">
        <w:rPr>
          <w:b/>
        </w:rPr>
        <w:t xml:space="preserve"> ietekmējošo</w:t>
      </w:r>
      <w:r w:rsidR="00CA2C66">
        <w:rPr>
          <w:b/>
        </w:rPr>
        <w:t xml:space="preserve"> faktoru modelēšanu ir secināts, ka s</w:t>
      </w:r>
      <w:r w:rsidRPr="00480A5C">
        <w:rPr>
          <w:b/>
        </w:rPr>
        <w:t>ākot ar 2018.gadu darbaspēka piedāvājums</w:t>
      </w:r>
      <w:r w:rsidR="00595E50">
        <w:rPr>
          <w:b/>
        </w:rPr>
        <w:t xml:space="preserve"> ekonomikā</w:t>
      </w:r>
      <w:r w:rsidRPr="00480A5C">
        <w:rPr>
          <w:b/>
        </w:rPr>
        <w:t xml:space="preserve"> var </w:t>
      </w:r>
      <w:r w:rsidR="00480A5C" w:rsidRPr="00480A5C">
        <w:rPr>
          <w:b/>
        </w:rPr>
        <w:t>būt mazāks nekā pieprasījums.</w:t>
      </w:r>
    </w:p>
    <w:p w:rsidR="00DA1480" w:rsidRPr="00DA1480" w:rsidRDefault="00CA2C66" w:rsidP="00DA1480">
      <w:pPr>
        <w:shd w:val="clear" w:color="auto" w:fill="FFFFFF" w:themeFill="background1"/>
        <w:jc w:val="right"/>
      </w:pPr>
      <w:r>
        <w:t>4</w:t>
      </w:r>
      <w:r w:rsidR="00DA1480" w:rsidRPr="00DA1480">
        <w:t>.attēls</w:t>
      </w:r>
    </w:p>
    <w:p w:rsidR="00DA1480" w:rsidRPr="00DA1480" w:rsidRDefault="00DA1480" w:rsidP="00DA1480">
      <w:pPr>
        <w:shd w:val="clear" w:color="auto" w:fill="FFFFFF" w:themeFill="background1"/>
        <w:jc w:val="center"/>
        <w:rPr>
          <w:b/>
        </w:rPr>
      </w:pPr>
      <w:r w:rsidRPr="00DA1480">
        <w:rPr>
          <w:b/>
        </w:rPr>
        <w:t>Iedzīvotāju skaits</w:t>
      </w:r>
    </w:p>
    <w:p w:rsidR="00DA1480" w:rsidRPr="00DA1480" w:rsidRDefault="00DA1480" w:rsidP="00DA1480">
      <w:pPr>
        <w:shd w:val="clear" w:color="auto" w:fill="FFFFFF" w:themeFill="background1"/>
        <w:jc w:val="center"/>
      </w:pPr>
      <w:r w:rsidRPr="00DA1480">
        <w:t>(miljonos)</w:t>
      </w:r>
    </w:p>
    <w:p w:rsidR="00DA1480" w:rsidRDefault="00DA1480" w:rsidP="00DA1480">
      <w:pPr>
        <w:ind w:firstLine="0"/>
      </w:pPr>
      <w:r w:rsidRPr="00480A5C">
        <w:rPr>
          <w:noProof/>
          <w:lang w:eastAsia="lv-LV"/>
        </w:rPr>
        <w:drawing>
          <wp:inline distT="0" distB="0" distL="0" distR="0" wp14:anchorId="1B8F5B0E" wp14:editId="65A4F03D">
            <wp:extent cx="5486400" cy="2052084"/>
            <wp:effectExtent l="0" t="0" r="0" b="571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C7A03" w:rsidRDefault="003C7A03" w:rsidP="003C7A03">
      <w:r w:rsidRPr="00E67A0E">
        <w:lastRenderedPageBreak/>
        <w:t>Ilgtermiņā migrācijai būs nozīmīgākā loma lejupslīdošās demogrāfijas negatīvo seku mazināšanai. Pie tam, lai nodrošinātu ekonomikas izaugsmes mērķu sasniegšanu, nepieciešama skaidri definēta ilgtermiņa migrācijas stratēģija, kur galvenie uzsvari būtu uz Latvijas valsts piederīgo reemigrācijas veicināšanu un imigrācijas mehānismu izveidi, kas ilgtermiņā nodrošinātu ne tikai darbaspēka kvantitatīvā jautājuma risināšanu, bet būtu vērsta  arī uz tā kvalitātes jautājumu risināšanu.</w:t>
      </w:r>
      <w:r w:rsidR="00B03D95">
        <w:t xml:space="preserve"> </w:t>
      </w:r>
      <w:r w:rsidR="000714A9" w:rsidRPr="00E67A0E">
        <w:t>Darbaspēka trūkums bez izsvērtas migrācijas politikas var kļūt par izaugsmi bremzējošu faktoru</w:t>
      </w:r>
      <w:r w:rsidRPr="00E67A0E">
        <w:t xml:space="preserve">. </w:t>
      </w:r>
    </w:p>
    <w:p w:rsidR="00BB43AE" w:rsidRPr="00480A5C" w:rsidRDefault="00BB43AE" w:rsidP="003C7A03">
      <w:r w:rsidRPr="00480A5C">
        <w:t xml:space="preserve">Atsevišķās nozarēs un profesijās darbaspēka novecošanās var radīt problēmas jau tuvākā nākotnē, jo darba tirgū var pietrūkt speciālistu ar atbilstošu izglītību un prasmēm, kuri varētu aizvietot to darbaspēku, kas atstāj aktīvo daba tirgu (dodas pensijā). Tās ir profesijas, kuras iepriekšējos 5-10 gados jauniešiem dažādu iemeslu dēļ nelikās pievilcīgas un tāpēc samazinājās studējošo skaits tajās. </w:t>
      </w:r>
    </w:p>
    <w:p w:rsidR="00BB43AE" w:rsidRPr="00480A5C" w:rsidRDefault="00BB43AE" w:rsidP="00BB43AE">
      <w:r w:rsidRPr="00480A5C">
        <w:t>Piemēram, 2011. gadā apstrādes rūpniecībā bija nodarbināti 114,4 tūkst. iedzīvotāju. Nozarē nodarbināto vidējais vecums bija aptuveni 42 gadi, kas kopumā neliecina par būtisku darbaspēka vecumstruktūras asimetriju un darbaspēka novecošanos kā problēmu nozarē kopumā. Vienlaikus gluži citāda aina vērojama atsevišķu jomu un kvalifikācijas speciālistu grupu ietvaros. 2011. gadā aptuveni puse (46%) no apstrādes rūpniecībā nodarbinātajiem augstākās kvalifikācijas inženierzinātņu jomas speciālistiem (veido aptuveni 5% no nozarē nodarbinātajiem) bija vecumā virs 50 gadiem, bet 20% bija pirmspensijas un pensijas vecumā (virs 60 gadiem). Inženierzinātņu vecāko speciālistu vidējais vecums bija 49 gadi, kas ir par 4 gadiem augstāks nekā vidējais rādītājs tautsaimniecībā. Tas norāda uz atbilstošās kvalifikācijas darbaspēka pastiprinātu novecošanos un piedāvājuma straujāku samazināšanos nākotnē.</w:t>
      </w:r>
    </w:p>
    <w:p w:rsidR="00BB43AE" w:rsidRPr="00480A5C" w:rsidRDefault="00BB43AE" w:rsidP="00BB43AE">
      <w:r w:rsidRPr="00480A5C">
        <w:t>Galvenās problēmas, kuras iezīmējas nākotnē, skar galvenokārt dabas un inženierzinātņu jomu speciālistus (gan vidējās gan augstākās izglītības līmenī), jo jaunieši dažādu iemesli dēļ, ne labprāt izvēlas šos studiju virzienus. Problēmu nevar atrisināt tikai ar budžeta vietu skaita palielināšanu, bet nepieciešami arī uzlabojumi vispārējā izglītībā, lai paaugstinātu jauniešu zināšanas eksaktos priekšmetos un palielinātu bērnu interesi par tiem.</w:t>
      </w:r>
    </w:p>
    <w:p w:rsidR="00BB43AE" w:rsidRPr="0057772F" w:rsidRDefault="00CA2C66" w:rsidP="00BB43AE">
      <w:pPr>
        <w:jc w:val="right"/>
        <w:rPr>
          <w:rFonts w:cs="Times New Roman"/>
          <w:szCs w:val="28"/>
        </w:rPr>
      </w:pPr>
      <w:r>
        <w:rPr>
          <w:rFonts w:cs="Times New Roman"/>
          <w:szCs w:val="28"/>
        </w:rPr>
        <w:t>5</w:t>
      </w:r>
      <w:r w:rsidR="00BB43AE" w:rsidRPr="0057772F">
        <w:rPr>
          <w:rFonts w:cs="Times New Roman"/>
          <w:szCs w:val="28"/>
        </w:rPr>
        <w:t>.attēls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2"/>
        <w:gridCol w:w="4578"/>
      </w:tblGrid>
      <w:tr w:rsidR="00BB43AE" w:rsidRPr="00E67A0E" w:rsidTr="00577102">
        <w:trPr>
          <w:trHeight w:val="423"/>
        </w:trPr>
        <w:tc>
          <w:tcPr>
            <w:tcW w:w="2565" w:type="pct"/>
            <w:vAlign w:val="bottom"/>
          </w:tcPr>
          <w:p w:rsidR="00BB43AE" w:rsidRDefault="00BB43AE" w:rsidP="00207E02">
            <w:pPr>
              <w:pStyle w:val="9pirmstab3"/>
              <w:tabs>
                <w:tab w:val="clear" w:pos="3259"/>
                <w:tab w:val="clear" w:pos="4200"/>
                <w:tab w:val="clear" w:pos="5141"/>
                <w:tab w:val="clear" w:pos="6082"/>
                <w:tab w:val="clear" w:pos="7022"/>
                <w:tab w:val="clear" w:pos="7963"/>
                <w:tab w:val="clear" w:pos="8870"/>
                <w:tab w:val="clear" w:pos="9794"/>
                <w:tab w:val="clear" w:pos="10718"/>
                <w:tab w:val="clear" w:pos="11659"/>
                <w:tab w:val="clear" w:pos="13171"/>
              </w:tabs>
              <w:spacing w:after="0"/>
              <w:rPr>
                <w:bCs/>
                <w:spacing w:val="-2"/>
                <w:sz w:val="20"/>
                <w:szCs w:val="26"/>
              </w:rPr>
            </w:pPr>
            <w:r>
              <w:rPr>
                <w:b/>
                <w:bCs/>
                <w:spacing w:val="-2"/>
                <w:sz w:val="20"/>
                <w:szCs w:val="26"/>
              </w:rPr>
              <w:t>Zinātnes un i</w:t>
            </w:r>
            <w:r w:rsidRPr="00E67A0E">
              <w:rPr>
                <w:b/>
                <w:bCs/>
                <w:spacing w:val="-2"/>
                <w:sz w:val="20"/>
                <w:szCs w:val="26"/>
              </w:rPr>
              <w:t>nženierzinātņu jomas vecāko speciālistu</w:t>
            </w:r>
            <w:r w:rsidRPr="00E67A0E">
              <w:rPr>
                <w:bCs/>
                <w:spacing w:val="-2"/>
                <w:sz w:val="20"/>
                <w:szCs w:val="26"/>
              </w:rPr>
              <w:t xml:space="preserve"> </w:t>
            </w:r>
            <w:r w:rsidRPr="00E67A0E">
              <w:rPr>
                <w:b/>
                <w:bCs/>
                <w:spacing w:val="-2"/>
                <w:sz w:val="20"/>
                <w:szCs w:val="26"/>
              </w:rPr>
              <w:t>vecumstruktūra</w:t>
            </w:r>
            <w:r w:rsidRPr="00E67A0E">
              <w:rPr>
                <w:bCs/>
                <w:spacing w:val="-2"/>
                <w:sz w:val="20"/>
                <w:szCs w:val="26"/>
              </w:rPr>
              <w:t>, 2011.gadā, %,</w:t>
            </w:r>
          </w:p>
          <w:p w:rsidR="00BB43AE" w:rsidRPr="00E67A0E" w:rsidRDefault="00BB43AE" w:rsidP="00207E02">
            <w:pPr>
              <w:pStyle w:val="9pirmstab3"/>
              <w:tabs>
                <w:tab w:val="clear" w:pos="3259"/>
                <w:tab w:val="clear" w:pos="4200"/>
                <w:tab w:val="clear" w:pos="5141"/>
                <w:tab w:val="clear" w:pos="6082"/>
                <w:tab w:val="clear" w:pos="7022"/>
                <w:tab w:val="clear" w:pos="7963"/>
                <w:tab w:val="clear" w:pos="8870"/>
                <w:tab w:val="clear" w:pos="9794"/>
                <w:tab w:val="clear" w:pos="10718"/>
                <w:tab w:val="clear" w:pos="11659"/>
                <w:tab w:val="clear" w:pos="13171"/>
              </w:tabs>
              <w:spacing w:after="0"/>
              <w:rPr>
                <w:bCs/>
                <w:spacing w:val="-2"/>
                <w:sz w:val="20"/>
                <w:szCs w:val="26"/>
              </w:rPr>
            </w:pPr>
          </w:p>
        </w:tc>
        <w:tc>
          <w:tcPr>
            <w:tcW w:w="2435" w:type="pct"/>
          </w:tcPr>
          <w:p w:rsidR="00BB43AE" w:rsidRPr="00E67A0E" w:rsidRDefault="00BB43AE" w:rsidP="00207E02">
            <w:pPr>
              <w:pStyle w:val="9pirmstab3"/>
              <w:tabs>
                <w:tab w:val="clear" w:pos="3259"/>
                <w:tab w:val="clear" w:pos="4200"/>
                <w:tab w:val="clear" w:pos="5141"/>
                <w:tab w:val="clear" w:pos="6082"/>
                <w:tab w:val="clear" w:pos="7022"/>
                <w:tab w:val="clear" w:pos="7963"/>
                <w:tab w:val="clear" w:pos="8870"/>
                <w:tab w:val="clear" w:pos="9794"/>
                <w:tab w:val="clear" w:pos="10718"/>
                <w:tab w:val="clear" w:pos="11659"/>
                <w:tab w:val="clear" w:pos="13171"/>
              </w:tabs>
              <w:spacing w:after="0"/>
              <w:rPr>
                <w:bCs/>
                <w:spacing w:val="-2"/>
                <w:sz w:val="20"/>
                <w:szCs w:val="26"/>
              </w:rPr>
            </w:pPr>
            <w:r w:rsidRPr="00E67A0E">
              <w:rPr>
                <w:b/>
                <w:bCs/>
                <w:spacing w:val="-2"/>
                <w:sz w:val="20"/>
                <w:szCs w:val="26"/>
              </w:rPr>
              <w:t>Apstrādes rūpniecībā nodarbināto Inženierzinātņu jomas vecāko speciālistu</w:t>
            </w:r>
            <w:r w:rsidRPr="00E67A0E">
              <w:rPr>
                <w:bCs/>
                <w:spacing w:val="-2"/>
                <w:sz w:val="20"/>
                <w:szCs w:val="26"/>
              </w:rPr>
              <w:t xml:space="preserve"> </w:t>
            </w:r>
            <w:r w:rsidRPr="00E67A0E">
              <w:rPr>
                <w:b/>
                <w:bCs/>
                <w:spacing w:val="-2"/>
                <w:sz w:val="20"/>
                <w:szCs w:val="26"/>
              </w:rPr>
              <w:t>vecumstruktūra</w:t>
            </w:r>
            <w:r w:rsidRPr="00E67A0E">
              <w:rPr>
                <w:bCs/>
                <w:spacing w:val="-2"/>
                <w:sz w:val="20"/>
                <w:szCs w:val="26"/>
              </w:rPr>
              <w:t>, 2011.gadā, %</w:t>
            </w:r>
          </w:p>
        </w:tc>
      </w:tr>
      <w:tr w:rsidR="00BB43AE" w:rsidRPr="00E67A0E" w:rsidTr="00577102">
        <w:trPr>
          <w:trHeight w:val="3126"/>
        </w:trPr>
        <w:tc>
          <w:tcPr>
            <w:tcW w:w="2565" w:type="pct"/>
          </w:tcPr>
          <w:p w:rsidR="00BB43AE" w:rsidRPr="00E67A0E" w:rsidRDefault="00BB43AE" w:rsidP="00207E02">
            <w:pPr>
              <w:tabs>
                <w:tab w:val="center" w:pos="2469"/>
              </w:tabs>
              <w:rPr>
                <w:rFonts w:cs="Times New Roman"/>
                <w:sz w:val="26"/>
                <w:szCs w:val="26"/>
              </w:rPr>
            </w:pPr>
            <w:r>
              <w:rPr>
                <w:rFonts w:cs="Times New Roman"/>
                <w:sz w:val="26"/>
                <w:szCs w:val="26"/>
              </w:rPr>
              <w:tab/>
            </w:r>
            <w:r w:rsidRPr="00E67A0E">
              <w:rPr>
                <w:rFonts w:cs="Times New Roman"/>
                <w:noProof/>
                <w:sz w:val="26"/>
                <w:szCs w:val="26"/>
                <w:lang w:eastAsia="lv-LV"/>
              </w:rPr>
              <w:drawing>
                <wp:inline distT="0" distB="0" distL="0" distR="0" wp14:anchorId="36E1273A" wp14:editId="76AAA26D">
                  <wp:extent cx="2819400" cy="171450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c>
          <w:tcPr>
            <w:tcW w:w="2435" w:type="pct"/>
          </w:tcPr>
          <w:p w:rsidR="00BB43AE" w:rsidRPr="00E67A0E" w:rsidRDefault="00BB43AE" w:rsidP="00207E02">
            <w:pPr>
              <w:jc w:val="center"/>
              <w:rPr>
                <w:rFonts w:cs="Times New Roman"/>
                <w:sz w:val="26"/>
                <w:szCs w:val="26"/>
              </w:rPr>
            </w:pPr>
            <w:r w:rsidRPr="00E67A0E">
              <w:rPr>
                <w:rFonts w:cs="Times New Roman"/>
                <w:noProof/>
                <w:sz w:val="26"/>
                <w:szCs w:val="26"/>
                <w:lang w:eastAsia="lv-LV"/>
              </w:rPr>
              <w:drawing>
                <wp:inline distT="0" distB="0" distL="0" distR="0" wp14:anchorId="0B261EF2" wp14:editId="507DDA3E">
                  <wp:extent cx="2819400" cy="1657350"/>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bl>
    <w:p w:rsidR="00BB43AE" w:rsidRPr="00586474" w:rsidRDefault="00577102" w:rsidP="00BB43AE">
      <w:r w:rsidRPr="00586474">
        <w:lastRenderedPageBreak/>
        <w:t xml:space="preserve">Darbaspēka kvalifikācijas neatbilstība darba tirgus pieprasījumam </w:t>
      </w:r>
      <w:r>
        <w:t xml:space="preserve">parasti </w:t>
      </w:r>
      <w:r w:rsidRPr="00586474">
        <w:t xml:space="preserve">ir viens no būtiskākajiem strukturālā darbaspēka deficīta un bezdarba veidošanās iemesliem. Pašreizējā situācijā vēl ir pāragri runāt par strukturālā bezdarba nopietniem draudiem. Bezdarbam ir izteikti ciklisks raksturs. Tomēr, ar laiku, nepievēršot uzmanību atsevišķām tendencēm, strukturālais bezdarbs var kļūt par </w:t>
      </w:r>
      <w:r>
        <w:t xml:space="preserve">nopietnu </w:t>
      </w:r>
      <w:r w:rsidRPr="00586474">
        <w:t>problēmu</w:t>
      </w:r>
      <w:r>
        <w:t xml:space="preserve"> un šķērsli pārejai uz augsti tehnoloģisko produktu ražošanu</w:t>
      </w:r>
      <w:r w:rsidR="00BB43AE" w:rsidRPr="00586474">
        <w:t>. Piemēram, kā liecina Konjunktūras apsekojumu (CSP regulārie apsekojumi) rezultāti, pakāpeniski palielinās to respondentu skaits, kuri darbaspēka trūkumu atzīmē kā ražošanu ierobežojošu faktoru. Jāatzīmē, ka rūpniecības un būvniecības uzņēmumos šo ierobežojošo faktoru procentuāli min divas reizes vairāk uzņēmēju nekā pakalpojumu sfērā darbojošies. Pie tam, strukturālā bezdarba dinamiku negatīvi var ietekmēt arī darbaspēka novecošanās.</w:t>
      </w:r>
      <w:r w:rsidR="00BB43AE" w:rsidRPr="00586474">
        <w:rPr>
          <w:rStyle w:val="FootnoteReference"/>
        </w:rPr>
        <w:t xml:space="preserve"> </w:t>
      </w:r>
    </w:p>
    <w:p w:rsidR="000664E1" w:rsidRDefault="00E14327" w:rsidP="003C7A03">
      <w:pPr>
        <w:rPr>
          <w:rFonts w:eastAsia="MS PGothic"/>
          <w:color w:val="000000" w:themeColor="text1"/>
          <w:kern w:val="24"/>
        </w:rPr>
      </w:pPr>
      <w:r w:rsidRPr="00E14327">
        <w:rPr>
          <w:rFonts w:eastAsia="MS PGothic"/>
          <w:color w:val="000000" w:themeColor="text1"/>
          <w:kern w:val="24"/>
        </w:rPr>
        <w:t>Nākotnē profesionālajai izglītībai ir jāspēj nodrošināt gan atbilstošu kvantitāti, gan kvalitāti. Tehnoloģiskais progress un jaunu produktu un pakalpojumu parādīšanās ir sekmējusi straujākas prasmju pieprasījuma izmaiņas un jaunu prasmju pieprasījuma veidošanos. Tādēļ zināšanas, kas bija</w:t>
      </w:r>
      <w:r w:rsidR="00F3705B">
        <w:rPr>
          <w:rFonts w:eastAsia="MS PGothic"/>
          <w:color w:val="000000" w:themeColor="text1"/>
          <w:kern w:val="24"/>
        </w:rPr>
        <w:t xml:space="preserve"> pieprasītas darba tirgū pirms pieciem</w:t>
      </w:r>
      <w:r w:rsidRPr="00E14327">
        <w:rPr>
          <w:rFonts w:eastAsia="MS PGothic"/>
          <w:color w:val="000000" w:themeColor="text1"/>
          <w:kern w:val="24"/>
        </w:rPr>
        <w:t xml:space="preserve"> gadiem, var nebūt vairs aktuālas šodien. Diemžēl izmaiņas prasmju piedāvājumā bieži vien ir lēnākas. Izglītības sistēmas neelastība, gausa iesaistīšanās mūžizglītībā </w:t>
      </w:r>
      <w:r w:rsidR="00F3705B" w:rsidRPr="00F3705B">
        <w:rPr>
          <w:rFonts w:eastAsia="MS PGothic"/>
          <w:color w:val="000000" w:themeColor="text1"/>
          <w:kern w:val="24"/>
        </w:rPr>
        <w:t>(kā darba devēj</w:t>
      </w:r>
      <w:r w:rsidR="00577102">
        <w:rPr>
          <w:rFonts w:eastAsia="MS PGothic"/>
          <w:color w:val="000000" w:themeColor="text1"/>
          <w:kern w:val="24"/>
        </w:rPr>
        <w:t>u</w:t>
      </w:r>
      <w:r w:rsidR="00F3705B" w:rsidRPr="00F3705B">
        <w:rPr>
          <w:rFonts w:eastAsia="MS PGothic"/>
          <w:color w:val="000000" w:themeColor="text1"/>
          <w:kern w:val="24"/>
        </w:rPr>
        <w:t xml:space="preserve"> tā darba ņēmēj</w:t>
      </w:r>
      <w:r w:rsidR="00275C7E">
        <w:rPr>
          <w:rFonts w:eastAsia="MS PGothic"/>
          <w:color w:val="000000" w:themeColor="text1"/>
          <w:kern w:val="24"/>
        </w:rPr>
        <w:t>u</w:t>
      </w:r>
      <w:r w:rsidR="00F3705B" w:rsidRPr="00F3705B">
        <w:rPr>
          <w:rFonts w:eastAsia="MS PGothic"/>
          <w:color w:val="000000" w:themeColor="text1"/>
          <w:kern w:val="24"/>
        </w:rPr>
        <w:t xml:space="preserve"> neatsaucības dēļ)</w:t>
      </w:r>
      <w:r w:rsidR="00F3705B">
        <w:rPr>
          <w:rFonts w:eastAsia="MS PGothic"/>
          <w:color w:val="000000" w:themeColor="text1"/>
          <w:kern w:val="24"/>
        </w:rPr>
        <w:t xml:space="preserve"> </w:t>
      </w:r>
      <w:r w:rsidRPr="00E14327">
        <w:rPr>
          <w:rFonts w:eastAsia="MS PGothic"/>
          <w:color w:val="000000" w:themeColor="text1"/>
          <w:kern w:val="24"/>
        </w:rPr>
        <w:t>ir tikai daži no faktoriem, kas kavē prasmju piedāvājuma pielāgošanos pieprasījumam. Tajā pašā laikā kvalitatīva profesionālā izglītība prasa arī atbilstošas izmaksas</w:t>
      </w:r>
      <w:r w:rsidR="00582D78">
        <w:rPr>
          <w:rFonts w:eastAsia="MS PGothic"/>
          <w:color w:val="000000" w:themeColor="text1"/>
          <w:kern w:val="24"/>
        </w:rPr>
        <w:t xml:space="preserve"> un piemērotu infrastruktūru</w:t>
      </w:r>
      <w:r w:rsidRPr="00E14327">
        <w:rPr>
          <w:rFonts w:eastAsia="MS PGothic"/>
          <w:color w:val="000000" w:themeColor="text1"/>
          <w:kern w:val="24"/>
        </w:rPr>
        <w:t xml:space="preserve">. Līdz ar to aktuāls ir jautājums – kā šīs izmaksas sadalīsies starp valsti, indivīdu un </w:t>
      </w:r>
      <w:r w:rsidR="00223F5E" w:rsidRPr="00F92C76">
        <w:rPr>
          <w:rFonts w:eastAsia="MS PGothic"/>
          <w:color w:val="000000" w:themeColor="text1"/>
          <w:kern w:val="24"/>
        </w:rPr>
        <w:t>komersantiem</w:t>
      </w:r>
      <w:r w:rsidRPr="00BB43AE">
        <w:rPr>
          <w:rFonts w:eastAsia="MS PGothic"/>
          <w:b/>
          <w:color w:val="000000" w:themeColor="text1"/>
          <w:kern w:val="24"/>
        </w:rPr>
        <w:t>.</w:t>
      </w:r>
      <w:r w:rsidR="00582D78">
        <w:rPr>
          <w:rFonts w:eastAsia="MS PGothic"/>
          <w:color w:val="000000" w:themeColor="text1"/>
          <w:kern w:val="24"/>
        </w:rPr>
        <w:t xml:space="preserve"> Profesionālās izglītības ilgtspējīgas reformas gan attiecībā uz saturu, apjomu un izglītības bāzi ir apstāklis, kas var veicināt vai kavēt tautsaimniecības struktūras transformāciju. </w:t>
      </w:r>
    </w:p>
    <w:p w:rsidR="00BB43AE" w:rsidRDefault="00F3705B" w:rsidP="00E14327">
      <w:pPr>
        <w:rPr>
          <w:rFonts w:eastAsia="MS PGothic"/>
          <w:color w:val="000000" w:themeColor="text1"/>
          <w:kern w:val="24"/>
        </w:rPr>
      </w:pPr>
      <w:r w:rsidRPr="00F3705B">
        <w:rPr>
          <w:rFonts w:eastAsia="MS PGothic"/>
          <w:color w:val="000000" w:themeColor="text1"/>
          <w:kern w:val="24"/>
        </w:rPr>
        <w:t xml:space="preserve">Pieaugušo tālāk izglītībai ir jākļūst par patiesu (kvalitatīvu un  regulāru ar noteiktu finansējuma mehānismu) mūžizglītības sistēmas sastāvdaļu. </w:t>
      </w:r>
    </w:p>
    <w:p w:rsidR="00BB43AE" w:rsidRPr="00F92C76" w:rsidRDefault="00BB43AE" w:rsidP="00BB43AE">
      <w:pPr>
        <w:rPr>
          <w:rFonts w:eastAsia="MS PGothic"/>
          <w:color w:val="000000" w:themeColor="text1"/>
          <w:kern w:val="24"/>
        </w:rPr>
      </w:pPr>
      <w:r w:rsidRPr="00F92C76">
        <w:rPr>
          <w:rFonts w:eastAsia="MS PGothic"/>
          <w:color w:val="000000" w:themeColor="text1"/>
          <w:kern w:val="24"/>
        </w:rPr>
        <w:t xml:space="preserve">Kā liecina statistiskie dati par pieaugušo iesaistīšanos tālāk izglītībā un prasmju apguvē, tad Latvijas rādītāji 2012.gadā salīdzinājumā ar 2011.gadu ir jūtami uzlabojušies (no  5.1% iesaistītiem apmācībās uz 7.0%). Tomēr arī sasniegtais vēl ir zem ES vidējā rādītāja (9.1%) un tālu atpaliek no </w:t>
      </w:r>
      <w:r w:rsidR="00275C7E">
        <w:rPr>
          <w:rFonts w:eastAsia="MS PGothic"/>
          <w:color w:val="000000" w:themeColor="text1"/>
          <w:kern w:val="24"/>
        </w:rPr>
        <w:t xml:space="preserve">citu </w:t>
      </w:r>
      <w:r w:rsidRPr="00F92C76">
        <w:rPr>
          <w:rFonts w:eastAsia="MS PGothic"/>
          <w:color w:val="000000" w:themeColor="text1"/>
          <w:kern w:val="24"/>
        </w:rPr>
        <w:t xml:space="preserve">valstu snieguma. Piemēram, Dānijā tas bija 28.8%, Zviedrijā 25.9% un Somijā 24.3%.  </w:t>
      </w:r>
    </w:p>
    <w:p w:rsidR="00BB43AE" w:rsidRPr="00351139" w:rsidRDefault="00BB43AE" w:rsidP="00BB43AE">
      <w:pPr>
        <w:rPr>
          <w:rFonts w:eastAsia="MS PGothic"/>
          <w:b/>
          <w:color w:val="000000" w:themeColor="text1"/>
          <w:kern w:val="24"/>
        </w:rPr>
      </w:pPr>
      <w:r w:rsidRPr="00351139">
        <w:rPr>
          <w:rFonts w:eastAsia="MS PGothic"/>
          <w:b/>
          <w:color w:val="000000" w:themeColor="text1"/>
          <w:kern w:val="24"/>
        </w:rPr>
        <w:t>Jāatzīmē, ka arī izglītības iestādēm (galvenokārt vidējās un augstākās profesionālās) būtu jānes atbildība par savu absolventu vai citu ieinteresēto regulāru tālāk izglītošanu par  modernām tehnoloģiskām un vadības izma</w:t>
      </w:r>
      <w:r w:rsidR="00351139" w:rsidRPr="00351139">
        <w:rPr>
          <w:rFonts w:eastAsia="MS PGothic"/>
          <w:b/>
          <w:color w:val="000000" w:themeColor="text1"/>
          <w:kern w:val="24"/>
        </w:rPr>
        <w:t xml:space="preserve">iņām  atbilstoši savam profilam, kur jau šobrīd ir noteikts augstākās izglītības iestāžu pienākums uzkrāt informāciju par absolventu karjeras attīstību. </w:t>
      </w:r>
      <w:r w:rsidRPr="00351139">
        <w:rPr>
          <w:rFonts w:eastAsia="MS PGothic"/>
          <w:b/>
          <w:color w:val="000000" w:themeColor="text1"/>
          <w:kern w:val="24"/>
        </w:rPr>
        <w:t xml:space="preserve"> Šajā gadījumā svarīgs ir jautājums par atbilstoša </w:t>
      </w:r>
      <w:r w:rsidR="00351139" w:rsidRPr="00351139">
        <w:rPr>
          <w:rFonts w:eastAsia="MS PGothic"/>
          <w:b/>
          <w:color w:val="000000" w:themeColor="text1"/>
          <w:kern w:val="24"/>
        </w:rPr>
        <w:t>stimulu un atbalsta instrumentu</w:t>
      </w:r>
      <w:r w:rsidRPr="00351139">
        <w:rPr>
          <w:rFonts w:eastAsia="MS PGothic"/>
          <w:b/>
          <w:color w:val="000000" w:themeColor="text1"/>
          <w:kern w:val="24"/>
        </w:rPr>
        <w:t xml:space="preserve"> atrašanu</w:t>
      </w:r>
      <w:r w:rsidR="00351139" w:rsidRPr="00351139">
        <w:rPr>
          <w:rFonts w:eastAsia="MS PGothic"/>
          <w:b/>
          <w:color w:val="000000" w:themeColor="text1"/>
          <w:kern w:val="24"/>
        </w:rPr>
        <w:t xml:space="preserve">, lai </w:t>
      </w:r>
      <w:r w:rsidRPr="00351139">
        <w:rPr>
          <w:rFonts w:eastAsia="MS PGothic"/>
          <w:b/>
          <w:color w:val="000000" w:themeColor="text1"/>
          <w:kern w:val="24"/>
        </w:rPr>
        <w:t>panākt</w:t>
      </w:r>
      <w:r w:rsidR="00351139" w:rsidRPr="00351139">
        <w:rPr>
          <w:rFonts w:eastAsia="MS PGothic"/>
          <w:b/>
          <w:color w:val="000000" w:themeColor="text1"/>
          <w:kern w:val="24"/>
        </w:rPr>
        <w:t>u</w:t>
      </w:r>
      <w:r w:rsidRPr="00351139">
        <w:rPr>
          <w:rFonts w:eastAsia="MS PGothic"/>
          <w:b/>
          <w:color w:val="000000" w:themeColor="text1"/>
          <w:kern w:val="24"/>
        </w:rPr>
        <w:t xml:space="preserve"> lielāku darba devēju un ņēmēju atsaucību.</w:t>
      </w:r>
      <w:r w:rsidR="00351139" w:rsidRPr="00351139">
        <w:rPr>
          <w:rFonts w:eastAsia="MS PGothic"/>
          <w:b/>
          <w:color w:val="000000" w:themeColor="text1"/>
          <w:kern w:val="24"/>
        </w:rPr>
        <w:t xml:space="preserve"> </w:t>
      </w:r>
    </w:p>
    <w:p w:rsidR="00586474" w:rsidRPr="00183F3C" w:rsidRDefault="00275C7E" w:rsidP="00586474">
      <w:pPr>
        <w:rPr>
          <w:rFonts w:eastAsia="MS PGothic"/>
          <w:b/>
          <w:color w:val="000000" w:themeColor="text1"/>
          <w:kern w:val="24"/>
        </w:rPr>
      </w:pPr>
      <w:r w:rsidRPr="00183F3C">
        <w:rPr>
          <w:rFonts w:eastAsia="MS PGothic"/>
          <w:b/>
          <w:color w:val="000000"/>
          <w:kern w:val="24"/>
        </w:rPr>
        <w:t>Sava loma tālākizglītības jomā ir Nodarbinātības valsts aģentūrai (NVA). Tās galvenais uzdevums ir</w:t>
      </w:r>
      <w:r>
        <w:rPr>
          <w:rFonts w:eastAsia="MS PGothic"/>
          <w:b/>
          <w:color w:val="000000"/>
          <w:kern w:val="24"/>
        </w:rPr>
        <w:t xml:space="preserve"> </w:t>
      </w:r>
      <w:r w:rsidRPr="00183F3C">
        <w:rPr>
          <w:rFonts w:eastAsia="MS PGothic"/>
          <w:b/>
          <w:color w:val="000000"/>
          <w:kern w:val="24"/>
        </w:rPr>
        <w:t>bezdarbnieku un bezdarba riskam pakļauto personu</w:t>
      </w:r>
      <w:r>
        <w:rPr>
          <w:rFonts w:eastAsia="MS PGothic"/>
          <w:b/>
          <w:color w:val="000000"/>
          <w:kern w:val="24"/>
        </w:rPr>
        <w:t xml:space="preserve"> nodrošināšana ar operatīvu informāciju par aktualitātēm darba </w:t>
      </w:r>
      <w:r>
        <w:rPr>
          <w:rFonts w:eastAsia="MS PGothic"/>
          <w:b/>
          <w:color w:val="000000"/>
          <w:kern w:val="24"/>
        </w:rPr>
        <w:lastRenderedPageBreak/>
        <w:t>tirgū, šo personu</w:t>
      </w:r>
      <w:r w:rsidRPr="00183F3C">
        <w:rPr>
          <w:rFonts w:eastAsia="MS PGothic"/>
          <w:b/>
          <w:color w:val="000000"/>
          <w:kern w:val="24"/>
        </w:rPr>
        <w:t xml:space="preserve"> prasmju un spēju uzlabošana un integrēšana darba tirgū</w:t>
      </w:r>
      <w:r>
        <w:rPr>
          <w:rFonts w:eastAsia="MS PGothic"/>
          <w:b/>
          <w:color w:val="000000"/>
          <w:kern w:val="24"/>
        </w:rPr>
        <w:t xml:space="preserve"> caur dažādiem aktīvās darba tirgus politikas pasākumiem.</w:t>
      </w:r>
      <w:r w:rsidR="00586474" w:rsidRPr="00183F3C">
        <w:rPr>
          <w:rFonts w:eastAsia="MS PGothic"/>
          <w:b/>
          <w:color w:val="000000" w:themeColor="text1"/>
          <w:kern w:val="24"/>
        </w:rPr>
        <w:t xml:space="preserve">. </w:t>
      </w:r>
    </w:p>
    <w:p w:rsidR="00586474" w:rsidRPr="00183F3C" w:rsidRDefault="00586474" w:rsidP="00586474">
      <w:pPr>
        <w:rPr>
          <w:rFonts w:eastAsia="MS PGothic"/>
          <w:b/>
          <w:color w:val="000000" w:themeColor="text1"/>
          <w:kern w:val="24"/>
        </w:rPr>
      </w:pPr>
      <w:r w:rsidRPr="00183F3C">
        <w:rPr>
          <w:rFonts w:eastAsia="MS PGothic"/>
          <w:b/>
          <w:color w:val="000000" w:themeColor="text1"/>
          <w:kern w:val="24"/>
        </w:rPr>
        <w:t xml:space="preserve">Uz 2012.gada beigām aptuveni 50% no visiem reģistrētajiem bezdarbniekiem bija ar visai zemu izglītības līmeni (ekonomiski aktīvo iedzīvotāju kopskaitā cilvēku ar zemo izglītību īpatsvars sastāda 33%), 37% </w:t>
      </w:r>
      <w:r w:rsidR="00275C7E">
        <w:rPr>
          <w:rFonts w:eastAsia="MS PGothic"/>
          <w:b/>
          <w:color w:val="000000" w:themeColor="text1"/>
          <w:kern w:val="24"/>
        </w:rPr>
        <w:t>bija</w:t>
      </w:r>
      <w:r w:rsidRPr="00183F3C">
        <w:rPr>
          <w:rFonts w:eastAsia="MS PGothic"/>
          <w:b/>
          <w:color w:val="000000" w:themeColor="text1"/>
          <w:kern w:val="24"/>
        </w:rPr>
        <w:t xml:space="preserve"> ar arodizglītību vai profesionālo vidējo izglītību (36%) un 12% ar augstāko izglītību (31%).</w:t>
      </w:r>
    </w:p>
    <w:p w:rsidR="00485DC7" w:rsidRPr="00183F3C" w:rsidRDefault="00275C7E" w:rsidP="00586474">
      <w:pPr>
        <w:rPr>
          <w:rFonts w:eastAsia="MS PGothic"/>
          <w:b/>
          <w:color w:val="000000" w:themeColor="text1"/>
          <w:kern w:val="24"/>
        </w:rPr>
      </w:pPr>
      <w:r w:rsidRPr="00183F3C">
        <w:rPr>
          <w:rFonts w:eastAsia="MS PGothic"/>
          <w:b/>
          <w:color w:val="000000"/>
          <w:kern w:val="24"/>
        </w:rPr>
        <w:t xml:space="preserve">NVA organizē apmācību programmas gan reģistrētajiem bezdarbniekiem un darba meklētājiem, gan nodarbinātām personām vecumā 25 gadi un vairāk. Apmācību jomas, izglītības programmas, profesijas un sociālās un profesionālās pamatprasmes, kurās atbilstoši darba tirgus pieprasījumam un tautsaimniecības nozaru attīstības prognozēm nepieciešams veikt bezdarbnieku, darba meklētāju un bezdarba riskam pakļauto personu apmācību </w:t>
      </w:r>
      <w:r>
        <w:rPr>
          <w:rStyle w:val="FootnoteReference"/>
          <w:rFonts w:eastAsia="MS PGothic"/>
          <w:b/>
          <w:color w:val="000000"/>
          <w:kern w:val="24"/>
        </w:rPr>
        <w:footnoteReference w:id="10"/>
      </w:r>
      <w:r w:rsidRPr="00183F3C">
        <w:rPr>
          <w:rFonts w:eastAsia="MS PGothic"/>
          <w:b/>
          <w:color w:val="000000"/>
          <w:kern w:val="24"/>
        </w:rPr>
        <w:t xml:space="preserve"> ne retāk kā reizi gadā nosaka labklājības ministra izveidota </w:t>
      </w:r>
      <w:r>
        <w:rPr>
          <w:rFonts w:eastAsia="MS PGothic"/>
          <w:b/>
          <w:color w:val="000000"/>
          <w:kern w:val="24"/>
        </w:rPr>
        <w:t xml:space="preserve">starpinstitūciju </w:t>
      </w:r>
      <w:r w:rsidRPr="00183F3C">
        <w:rPr>
          <w:rFonts w:eastAsia="MS PGothic"/>
          <w:b/>
          <w:color w:val="000000"/>
          <w:kern w:val="24"/>
        </w:rPr>
        <w:t xml:space="preserve">komisija, kurā darbojas </w:t>
      </w:r>
      <w:r>
        <w:rPr>
          <w:rFonts w:eastAsia="MS PGothic"/>
          <w:b/>
          <w:color w:val="000000"/>
          <w:kern w:val="24"/>
        </w:rPr>
        <w:t>valsts pārvaldes, darba devēju organizāciju, arodbiedrību un citu nozaru eksperti</w:t>
      </w:r>
      <w:r w:rsidR="00183F3C" w:rsidRPr="00183F3C">
        <w:rPr>
          <w:rFonts w:eastAsia="MS PGothic"/>
          <w:b/>
          <w:color w:val="000000" w:themeColor="text1"/>
          <w:kern w:val="24"/>
        </w:rPr>
        <w:t>.</w:t>
      </w:r>
    </w:p>
    <w:p w:rsidR="003C7A03" w:rsidRPr="00E67A0E" w:rsidRDefault="00377D50" w:rsidP="00377D50">
      <w:pPr>
        <w:pStyle w:val="Heading2"/>
      </w:pPr>
      <w:bookmarkStart w:id="8" w:name="_Toc354732562"/>
      <w:r w:rsidRPr="00E67A0E">
        <w:t>2.</w:t>
      </w:r>
      <w:r w:rsidR="00315274">
        <w:t>2</w:t>
      </w:r>
      <w:r w:rsidRPr="00E67A0E">
        <w:t>. Produktu tirgi</w:t>
      </w:r>
      <w:r w:rsidRPr="00E67A0E">
        <w:rPr>
          <w:rStyle w:val="FootnoteReference"/>
        </w:rPr>
        <w:footnoteReference w:id="11"/>
      </w:r>
      <w:bookmarkEnd w:id="8"/>
    </w:p>
    <w:bookmarkEnd w:id="5"/>
    <w:p w:rsidR="00940B93" w:rsidRPr="00E67A0E" w:rsidRDefault="00377D50" w:rsidP="003432AF">
      <w:r w:rsidRPr="00E67A0E">
        <w:t>Produktu tirgus attīstību primāri nosaka uzņēmējdarbības vide</w:t>
      </w:r>
      <w:r w:rsidR="00940B93" w:rsidRPr="00E67A0E">
        <w:t>, kuras raksturošanai var izmantot vairākus starptautiski salīdzināmus novērtējumus, piemēram, Globālās konkurētspējas indekss vai Pasaules Bankas Doing Business indekss.</w:t>
      </w:r>
      <w:r w:rsidR="006572E7" w:rsidRPr="00E67A0E">
        <w:t xml:space="preserve"> </w:t>
      </w:r>
      <w:r w:rsidR="00644C2A" w:rsidRPr="00E67A0E">
        <w:t>Ņemot vērā indeksu izstrādē veikto analīzi ir identificējamie tie uzņēmējdarbības vides aspekti, kas rada būtiskāko ietekmi uz produktu t</w:t>
      </w:r>
      <w:r w:rsidR="00B951AE" w:rsidRPr="00E67A0E">
        <w:t>i</w:t>
      </w:r>
      <w:r w:rsidR="00644C2A" w:rsidRPr="00E67A0E">
        <w:t>rgu attīstību.</w:t>
      </w:r>
    </w:p>
    <w:p w:rsidR="00EC7C36" w:rsidRDefault="00EC6974" w:rsidP="00EC7C36">
      <w:r w:rsidRPr="00E67A0E">
        <w:t xml:space="preserve">Kā </w:t>
      </w:r>
      <w:r w:rsidR="00315274" w:rsidRPr="0035536C">
        <w:t>svarīgākais</w:t>
      </w:r>
      <w:r w:rsidRPr="0035536C">
        <w:t xml:space="preserve"> aspekts</w:t>
      </w:r>
      <w:r w:rsidRPr="00E67A0E">
        <w:t xml:space="preserve"> </w:t>
      </w:r>
      <w:r w:rsidR="00CE28A4" w:rsidRPr="00E67A0E">
        <w:t xml:space="preserve">ir jāmin </w:t>
      </w:r>
      <w:r w:rsidR="00CE28A4" w:rsidRPr="0035536C">
        <w:t>publiskās un uzņēmējdarbības infrastruktūras kvalitāte.</w:t>
      </w:r>
      <w:r w:rsidR="00CE28A4" w:rsidRPr="00E67A0E">
        <w:t xml:space="preserve"> Šo aspektu analizē gan Globālās konkurētspējas indekss, gan Latvijas konkurētspējas novērtējums. Ziņojumu novērtējumi parāda, ka būtisks izaicinājums produktu tirgū ir publiskās infrastruktūras kvalitāte un ar to saistītās loģistikas izmaksas, gan veicot izejvielu piegādi, gan arī veicot gala produktu pārvadāšanu. Savukārt uzņēmējdarbības infrastruktūras kvalitāte ir identificēta kā problēma gan no uzņēmumu un to pārstāvošo organizāciju, gan pašvaldību puses.</w:t>
      </w:r>
      <w:r w:rsidR="00EC7C36">
        <w:t xml:space="preserve"> </w:t>
      </w:r>
    </w:p>
    <w:p w:rsidR="00E6108D" w:rsidRDefault="00E6108D" w:rsidP="00EC7C36">
      <w:r w:rsidRPr="00E6108D">
        <w:t xml:space="preserve">Lai noskaidrotu situāciju </w:t>
      </w:r>
      <w:r>
        <w:t>attiecībā uz industriālajām teritorijām</w:t>
      </w:r>
      <w:r w:rsidRPr="00E6108D">
        <w:t xml:space="preserve"> nacionālas un reģionālas nozīmes attīstības centru pašvaldībās, VARAM 2012.gada jūlijā – novembrī veica šo pašvaldību aptauju. </w:t>
      </w:r>
      <w:r>
        <w:t>Aptaujas</w:t>
      </w:r>
      <w:r w:rsidRPr="00E6108D">
        <w:t xml:space="preserve"> ietvaros tika secināts, ka esošās un/vai perspektīvās industriālās zonas ir visās 30 pašvaldībās, un katrā no tām ir brīvas platības, kuras varētu izmantot </w:t>
      </w:r>
      <w:r w:rsidR="00223F5E" w:rsidRPr="0035536C">
        <w:t>komersanti</w:t>
      </w:r>
      <w:r w:rsidRPr="00BB43AE">
        <w:rPr>
          <w:b/>
        </w:rPr>
        <w:t>,</w:t>
      </w:r>
      <w:r w:rsidRPr="00E6108D">
        <w:t xml:space="preserve"> kas vēlas uzsākt vai paplašināt uzņēmējdarbību attiecīgajā pašvaldībā (t.i. ir platības, kas varētu tikt izmantotas jaunu industriālo zonu izveidei/esošo paplašināšanai). Aptaujas ietvaros tika noskaidrots, ka būtiskākie trūkumi esošajai industriālo zonu infrastruktūrai ir nesakārtoti pievadceļi un nepilnīgas inženierkomunikācijas (ūdensapgāde, </w:t>
      </w:r>
      <w:r w:rsidRPr="00E6108D">
        <w:lastRenderedPageBreak/>
        <w:t xml:space="preserve">kanalizācija, siltumapgāde, gāze, nepietiekamas elektroenerģijas jaudas, interneta pieejamība u.tml.). </w:t>
      </w:r>
    </w:p>
    <w:p w:rsidR="00E6108D" w:rsidRDefault="00CA2C66" w:rsidP="00E6108D">
      <w:pPr>
        <w:jc w:val="right"/>
      </w:pPr>
      <w:r>
        <w:t>6</w:t>
      </w:r>
      <w:r w:rsidR="00E6108D">
        <w:t>.attēls</w:t>
      </w:r>
    </w:p>
    <w:p w:rsidR="00E6108D" w:rsidRPr="00851916" w:rsidRDefault="00E6108D" w:rsidP="00E6108D">
      <w:pPr>
        <w:jc w:val="center"/>
        <w:rPr>
          <w:b/>
        </w:rPr>
      </w:pPr>
      <w:r w:rsidRPr="00851916">
        <w:rPr>
          <w:b/>
        </w:rPr>
        <w:t xml:space="preserve">Reģionālo un nacionālo </w:t>
      </w:r>
      <w:r w:rsidR="0041754A" w:rsidRPr="00851916">
        <w:rPr>
          <w:b/>
        </w:rPr>
        <w:t xml:space="preserve">attīstības </w:t>
      </w:r>
      <w:r w:rsidRPr="00851916">
        <w:rPr>
          <w:b/>
        </w:rPr>
        <w:t>centru industriālo zonu pieejamība</w:t>
      </w:r>
      <w:r w:rsidR="00C41F6B">
        <w:rPr>
          <w:rStyle w:val="FootnoteReference"/>
          <w:b/>
        </w:rPr>
        <w:footnoteReference w:id="12"/>
      </w:r>
    </w:p>
    <w:p w:rsidR="00E6108D" w:rsidRDefault="001B2A58" w:rsidP="00EC7C36">
      <w:r>
        <w:rPr>
          <w:rFonts w:eastAsia="Times New Roman"/>
          <w:noProof/>
          <w:sz w:val="24"/>
          <w:szCs w:val="24"/>
          <w:lang w:eastAsia="lv-LV"/>
        </w:rPr>
        <w:drawing>
          <wp:inline distT="0" distB="0" distL="0" distR="0" wp14:anchorId="442ACB99" wp14:editId="38D1909D">
            <wp:extent cx="5616839" cy="3524250"/>
            <wp:effectExtent l="0" t="0" r="3175" b="0"/>
            <wp:docPr id="2" name="Picture 2" descr="Industriala karte_0412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dustriala karte_041220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23711" cy="3528562"/>
                    </a:xfrm>
                    <a:prstGeom prst="rect">
                      <a:avLst/>
                    </a:prstGeom>
                    <a:noFill/>
                    <a:ln>
                      <a:noFill/>
                    </a:ln>
                  </pic:spPr>
                </pic:pic>
              </a:graphicData>
            </a:graphic>
          </wp:inline>
        </w:drawing>
      </w:r>
    </w:p>
    <w:p w:rsidR="001B2A58" w:rsidRDefault="001B2A58" w:rsidP="00EC7C36">
      <w:pPr>
        <w:rPr>
          <w:lang w:eastAsia="lv-LV"/>
        </w:rPr>
      </w:pPr>
    </w:p>
    <w:p w:rsidR="00EC7C36" w:rsidRPr="00F92C76" w:rsidRDefault="00EC7C36" w:rsidP="00EC7C36">
      <w:r w:rsidRPr="00FE2083">
        <w:rPr>
          <w:lang w:eastAsia="lv-LV"/>
        </w:rPr>
        <w:t>Kā liecina</w:t>
      </w:r>
      <w:r>
        <w:rPr>
          <w:lang w:eastAsia="lv-LV"/>
        </w:rPr>
        <w:t xml:space="preserve"> VAS „Latvijas valsts ceļi”</w:t>
      </w:r>
      <w:r w:rsidRPr="00FE2083">
        <w:rPr>
          <w:lang w:eastAsia="lv-LV"/>
        </w:rPr>
        <w:t xml:space="preserve"> dati, 25% jeb 2 069 km valsts autoceļu ar melno segumu </w:t>
      </w:r>
      <w:r w:rsidR="00C0034B">
        <w:rPr>
          <w:lang w:eastAsia="lv-LV"/>
        </w:rPr>
        <w:t>2010.gadā bija</w:t>
      </w:r>
      <w:r w:rsidRPr="00FE2083">
        <w:rPr>
          <w:lang w:eastAsia="lv-LV"/>
        </w:rPr>
        <w:t xml:space="preserve"> klasificējami kā sabrukuši un tiem ir nepieciešama pilnīga segas rekonstrukcija (2009.gadā - 22% jeb 1 865 km)</w:t>
      </w:r>
      <w:r w:rsidRPr="00FE2083">
        <w:rPr>
          <w:vertAlign w:val="superscript"/>
          <w:lang w:eastAsia="lv-LV"/>
        </w:rPr>
        <w:footnoteReference w:id="13"/>
      </w:r>
      <w:r w:rsidRPr="00FE2083">
        <w:rPr>
          <w:lang w:eastAsia="lv-LV"/>
        </w:rPr>
        <w:t>. Labā vai ļoti labā stāvoklī ir tikai 32% galveno autoceļu, 22% reģionālo autoceļu un 23% vietējo autoceļu</w:t>
      </w:r>
      <w:r>
        <w:rPr>
          <w:lang w:eastAsia="lv-LV"/>
        </w:rPr>
        <w:t>.</w:t>
      </w:r>
      <w:r w:rsidRPr="00E67A0E">
        <w:t xml:space="preserve"> </w:t>
      </w:r>
      <w:r w:rsidRPr="00643AB3">
        <w:t>Valsts akciju sabiedrības „Latvijas Valsts ceļi” veiktie autoceļu ikgadējās apsekošanas rezultāti apliecina, ka kopumā valsts autoceļu stāvoklis gadu no gada turpina pasliktināties.</w:t>
      </w:r>
      <w:r>
        <w:rPr>
          <w:rStyle w:val="FootnoteReference"/>
        </w:rPr>
        <w:footnoteReference w:id="14"/>
      </w:r>
      <w:r w:rsidRPr="0052044E">
        <w:t xml:space="preserve"> Situācija ar pašvaldību autoceļiem un ielām ir līdzīga kā ar valsts autoceļiem</w:t>
      </w:r>
      <w:r>
        <w:t xml:space="preserve">. </w:t>
      </w:r>
      <w:r w:rsidRPr="0052044E">
        <w:t xml:space="preserve">Valsts atbalsts – mērķdotācija pašvaldību autoceļiem un ielām </w:t>
      </w:r>
      <w:r w:rsidR="00FE2C71">
        <w:t>2012.</w:t>
      </w:r>
      <w:r w:rsidRPr="0052044E">
        <w:t xml:space="preserve">gadā ir 413 LVL gadā uz 1 kilometru. </w:t>
      </w:r>
      <w:r w:rsidRPr="00F92C76">
        <w:t>Lielākā daļa piešķirtā finansējuma tiek izlietota pašvaldību autoceļu ikdienas uzturēšanai (t.sk. bedrīšu remontam), līdz ar to ceļu stāvokļa uzlabošanai atliek pavisam niecīgs finansējums.</w:t>
      </w:r>
      <w:r w:rsidRPr="00F92C76">
        <w:rPr>
          <w:rStyle w:val="FootnoteReference"/>
          <w:rFonts w:eastAsia="Times New Roman"/>
          <w:sz w:val="24"/>
          <w:szCs w:val="24"/>
          <w:lang w:eastAsia="lv-LV"/>
        </w:rPr>
        <w:footnoteReference w:id="15"/>
      </w:r>
    </w:p>
    <w:p w:rsidR="008768DD" w:rsidRPr="00F92C76" w:rsidRDefault="008768DD" w:rsidP="003432AF">
      <w:r w:rsidRPr="00F92C76">
        <w:t>Kā otrais aspekts produktu tirgū ir minams inovācijas sniegums</w:t>
      </w:r>
      <w:r w:rsidR="00D51716" w:rsidRPr="00F92C76">
        <w:t xml:space="preserve"> -</w:t>
      </w:r>
      <w:r w:rsidRPr="00F92C76">
        <w:t xml:space="preserve"> </w:t>
      </w:r>
      <w:r w:rsidR="00D51716" w:rsidRPr="00F92C76">
        <w:t xml:space="preserve">neapmierinošā inovācijas sistēmas infrastruktūras kvalitāte, jaunu inovatīvu uzņēmumu veidošanās trūkums, kas ir cieši sasaistīts ar kopējo zemo uzņēmējdarbības aktivitāti un rūpniecības zemo īpatsvaru tautsaimniecībā un </w:t>
      </w:r>
      <w:r w:rsidR="00D51716" w:rsidRPr="00F92C76">
        <w:lastRenderedPageBreak/>
        <w:t>darbību zemo izmaksu segmentos</w:t>
      </w:r>
      <w:r w:rsidRPr="00F92C76">
        <w:t xml:space="preserve">. Eiropas Komisijas publicētais inovācijas </w:t>
      </w:r>
      <w:r w:rsidR="00F82AD9" w:rsidRPr="00F92C76">
        <w:t xml:space="preserve">snieguma </w:t>
      </w:r>
      <w:r w:rsidRPr="00F92C76">
        <w:t>pētījums</w:t>
      </w:r>
      <w:r w:rsidR="00F82AD9" w:rsidRPr="00F92C76">
        <w:t xml:space="preserve"> </w:t>
      </w:r>
      <w:r w:rsidR="002669D4">
        <w:t>2013</w:t>
      </w:r>
      <w:r w:rsidRPr="00F92C76">
        <w:t xml:space="preserve"> (</w:t>
      </w:r>
      <w:r w:rsidRPr="00F92C76">
        <w:rPr>
          <w:i/>
        </w:rPr>
        <w:t>Innovation Union Scoreboard</w:t>
      </w:r>
      <w:r w:rsidR="00F82AD9" w:rsidRPr="00F92C76">
        <w:rPr>
          <w:i/>
        </w:rPr>
        <w:t xml:space="preserve"> </w:t>
      </w:r>
      <w:r w:rsidR="002669D4">
        <w:rPr>
          <w:i/>
        </w:rPr>
        <w:t>2013</w:t>
      </w:r>
      <w:r w:rsidRPr="00F92C76">
        <w:t>)</w:t>
      </w:r>
      <w:r w:rsidRPr="00F92C76">
        <w:rPr>
          <w:rStyle w:val="FootnoteReference"/>
        </w:rPr>
        <w:footnoteReference w:id="16"/>
      </w:r>
      <w:r w:rsidRPr="00F92C76">
        <w:t xml:space="preserve"> uzrāda būtiskas nepilnības inovācijas </w:t>
      </w:r>
      <w:r w:rsidR="001A02EE" w:rsidRPr="00F92C76">
        <w:t>jomā</w:t>
      </w:r>
      <w:r w:rsidR="00BD4ED1">
        <w:t>. Ziņojumā i</w:t>
      </w:r>
      <w:r w:rsidRPr="00F92C76">
        <w:t xml:space="preserve">r identificēts, ka inovācijas sniegums Latvijā ir nenozīmīgs </w:t>
      </w:r>
      <w:r w:rsidR="00E31CCB" w:rsidRPr="00F92C76">
        <w:t xml:space="preserve">tādās </w:t>
      </w:r>
      <w:r w:rsidRPr="00F92C76">
        <w:t>analīzes dimensijās</w:t>
      </w:r>
      <w:r w:rsidR="00E31CCB" w:rsidRPr="00F92C76">
        <w:t xml:space="preserve"> kā </w:t>
      </w:r>
      <w:r w:rsidR="00A2377E" w:rsidRPr="00F92C76">
        <w:t>pētniecības kapacitāte un ekselence vai uzņēmumu un pētniecības sektoru sadarbība</w:t>
      </w:r>
      <w:r w:rsidRPr="00F92C76">
        <w:t>.</w:t>
      </w:r>
      <w:r w:rsidR="00BD4ED1">
        <w:t xml:space="preserve"> </w:t>
      </w:r>
      <w:r w:rsidR="00BD4ED1" w:rsidRPr="00F92C76">
        <w:t>Latvijas Konkurētspējas novērtējum</w:t>
      </w:r>
      <w:r w:rsidR="00BD4ED1">
        <w:t>ā</w:t>
      </w:r>
      <w:r w:rsidR="00BD4ED1" w:rsidRPr="00F92C76">
        <w:t xml:space="preserve"> 2011</w:t>
      </w:r>
      <w:r w:rsidR="00BD4ED1" w:rsidRPr="00F92C76">
        <w:rPr>
          <w:rStyle w:val="FootnoteReference"/>
        </w:rPr>
        <w:footnoteReference w:id="17"/>
      </w:r>
      <w:r w:rsidR="00BD4ED1">
        <w:t xml:space="preserve"> </w:t>
      </w:r>
      <w:r w:rsidRPr="00F92C76">
        <w:t>attiecībā uz inovācijas sistēmas infrastruktūru tiek norādīts, ka tā ir neapmierinoša, ko pastiprina fakts, ka ir identificēta nepietiekama sadarbība starp inovācijas procesā iesaistītajām pusēm – augstskolām, pētniecības institūcijām un uzņēmumiem.</w:t>
      </w:r>
    </w:p>
    <w:p w:rsidR="00D75500" w:rsidRPr="00E67A0E" w:rsidRDefault="00D75500" w:rsidP="003432AF">
      <w:r w:rsidRPr="00F92C76">
        <w:t xml:space="preserve">Kā </w:t>
      </w:r>
      <w:r w:rsidR="008768DD" w:rsidRPr="00F92C76">
        <w:t>trešai</w:t>
      </w:r>
      <w:r w:rsidR="001A02EE" w:rsidRPr="00F92C76">
        <w:t>s</w:t>
      </w:r>
      <w:r w:rsidRPr="00F92C76">
        <w:t xml:space="preserve"> aspekts </w:t>
      </w:r>
      <w:r w:rsidR="00CE28A4" w:rsidRPr="00F92C76">
        <w:t>ir minams publiskā sektora kvalitāte un efektivitāte, īpaši jomas, kas attiecināmas uz tiesību sistēmu un likumdošanas kvalitāti. Latvijas konkurētspējas ziņojumā ir secināts</w:t>
      </w:r>
      <w:r w:rsidR="00CE28A4" w:rsidRPr="00E67A0E">
        <w:t>, ka tiesību aktu sistēma kopumā tiek vērtēta kā negatīva, kas rezultējas ar investīciju ieplūdes kavēšanu, kā arī pieļauj nepamatotu ekonomisko resursu sadali, kas kavē ekonomikas konkurētspēju</w:t>
      </w:r>
      <w:r w:rsidR="00CE28A4">
        <w:t>.</w:t>
      </w:r>
    </w:p>
    <w:p w:rsidR="00315274" w:rsidRPr="00E67A0E" w:rsidRDefault="00315274" w:rsidP="00315274">
      <w:pPr>
        <w:pStyle w:val="Heading2"/>
      </w:pPr>
      <w:bookmarkStart w:id="9" w:name="_Toc354732563"/>
      <w:r w:rsidRPr="00E67A0E">
        <w:t>2.</w:t>
      </w:r>
      <w:r>
        <w:t>3</w:t>
      </w:r>
      <w:r w:rsidRPr="00E67A0E">
        <w:t>.Finanšu tirgus</w:t>
      </w:r>
      <w:bookmarkEnd w:id="9"/>
    </w:p>
    <w:p w:rsidR="00315274" w:rsidRDefault="00315274" w:rsidP="00315274">
      <w:r>
        <w:t xml:space="preserve">Ekonomikas attīstība un strukturālā transformācija, kas vērsta uz ekonomikas funkcionēšanas modeļa kvalitatīvas pilnveidošanas priekšnosacījums ir attīstīts stabils un efektīvi funkcionējošs finanšu tirgus.  </w:t>
      </w:r>
    </w:p>
    <w:p w:rsidR="00315274" w:rsidRDefault="00315274" w:rsidP="00315274">
      <w:r>
        <w:t xml:space="preserve">Lai gan Latvijas finanšu tirgus ir stabilizējies, tomēr tautsaimniecības kreditēšanas procesa atjaunošanās notiek ļoti lēni. Banku piesardzīgo attieksmi lielā mērā iespaido arī procesi eiro zonas valstīs, kas saistīti ar parādu krīzi. No otras puses Latvijas </w:t>
      </w:r>
      <w:r w:rsidR="00223F5E" w:rsidRPr="00F92C76">
        <w:t>komersantu</w:t>
      </w:r>
      <w:r w:rsidR="00223F5E">
        <w:t xml:space="preserve"> </w:t>
      </w:r>
      <w:r>
        <w:t>augstās parādsaistības un nepietiekamais pašu kapitāla apjoms palielina kredītsaistību riskus.</w:t>
      </w:r>
    </w:p>
    <w:p w:rsidR="00315274" w:rsidRDefault="00315274" w:rsidP="00315274">
      <w:r>
        <w:t xml:space="preserve">Bez tam, jāņem vērā, ka Latvijā finanšu tirgū izteikti dominē banku sektors kamēr citi alternatīvie tirgus segmenti ir vēsturiski vāji attīstīti. Šie apstākļi ir viens no būtiskākajiem ierobežojumiem investīcijām ražošanas pārstrukturizācijai un modernizācijai. </w:t>
      </w:r>
    </w:p>
    <w:p w:rsidR="00315274" w:rsidRDefault="00315274" w:rsidP="00315274">
      <w:pPr>
        <w:rPr>
          <w:b/>
        </w:rPr>
      </w:pPr>
      <w:r>
        <w:t xml:space="preserve">Tāpēc, lai atvieglotu piekļuvi finansēm </w:t>
      </w:r>
      <w:r w:rsidRPr="00F92C76">
        <w:t xml:space="preserve">un mazinātu </w:t>
      </w:r>
      <w:r w:rsidR="00223F5E" w:rsidRPr="00F92C76">
        <w:t xml:space="preserve">komersantu </w:t>
      </w:r>
      <w:r w:rsidRPr="00F92C76">
        <w:t xml:space="preserve">tradicionāli lielu atkarību no banku finansējuma (kredītiem) ir nepieciešams </w:t>
      </w:r>
      <w:r w:rsidR="007652CA" w:rsidRPr="00F92C76">
        <w:t>paplašinā</w:t>
      </w:r>
      <w:r w:rsidRPr="00F92C76">
        <w:t>t un pilnveidot alternatīvus investīciju finansēšanas avotus</w:t>
      </w:r>
      <w:r w:rsidR="00315A11" w:rsidRPr="00F92C76">
        <w:t>, piemēram, riska kapitāla investīcija,</w:t>
      </w:r>
      <w:r w:rsidR="00EE35B6" w:rsidRPr="00F92C76">
        <w:t xml:space="preserve"> biznesa eņģeļi u.c.</w:t>
      </w:r>
    </w:p>
    <w:p w:rsidR="00EE35B6" w:rsidRPr="001B302C" w:rsidRDefault="00EE35B6" w:rsidP="00315274">
      <w:pPr>
        <w:rPr>
          <w:b/>
        </w:rPr>
      </w:pPr>
    </w:p>
    <w:p w:rsidR="004A517D" w:rsidRPr="00E67A0E" w:rsidRDefault="00902BD3" w:rsidP="00EE67B7">
      <w:pPr>
        <w:pStyle w:val="Heading1"/>
      </w:pPr>
      <w:bookmarkStart w:id="10" w:name="_Toc354732564"/>
      <w:r w:rsidRPr="00E67A0E">
        <w:rPr>
          <w:rFonts w:cs="Times New Roman"/>
        </w:rPr>
        <w:t>Galvenie šķēršļi produktu ražošanas uzsākšanai un paplašināšanai</w:t>
      </w:r>
      <w:bookmarkEnd w:id="10"/>
    </w:p>
    <w:p w:rsidR="003432AF" w:rsidRPr="00E67A0E" w:rsidRDefault="003432AF" w:rsidP="004922F6">
      <w:r w:rsidRPr="00E67A0E">
        <w:t>Eksportspējīgāko nišu un produktu</w:t>
      </w:r>
      <w:r w:rsidR="007A4158" w:rsidRPr="00E67A0E">
        <w:t xml:space="preserve"> un pakalpojumu</w:t>
      </w:r>
      <w:r w:rsidRPr="00E67A0E">
        <w:t xml:space="preserve"> ar augstāku pievienotās vērtības potenciālu noteikšana  un padziļināta ražotāju analīze </w:t>
      </w:r>
      <w:r w:rsidR="00BC54BC" w:rsidRPr="00E67A0E">
        <w:t>tika veikta</w:t>
      </w:r>
      <w:r w:rsidRPr="00E67A0E">
        <w:t xml:space="preserve">, lai identificētu galvenos šķēršļus un nepilnības, kas </w:t>
      </w:r>
      <w:r w:rsidR="00BC54BC" w:rsidRPr="00E67A0E">
        <w:t>traucē</w:t>
      </w:r>
      <w:r w:rsidRPr="00E67A0E">
        <w:t xml:space="preserve"> </w:t>
      </w:r>
      <w:r w:rsidR="00223F5E" w:rsidRPr="00275C7E">
        <w:t>komersantiem</w:t>
      </w:r>
      <w:r w:rsidR="00223F5E" w:rsidRPr="001B302C">
        <w:rPr>
          <w:b/>
        </w:rPr>
        <w:t xml:space="preserve"> </w:t>
      </w:r>
      <w:r w:rsidRPr="00E67A0E">
        <w:t>paplašināt</w:t>
      </w:r>
      <w:r w:rsidR="00BC54BC" w:rsidRPr="00E67A0E">
        <w:t xml:space="preserve"> esošo produktu</w:t>
      </w:r>
      <w:r w:rsidRPr="00E67A0E">
        <w:t xml:space="preserve"> ražošanu</w:t>
      </w:r>
      <w:r w:rsidR="007A4158" w:rsidRPr="00E67A0E">
        <w:t xml:space="preserve"> un pakalpojumu sniegšanu</w:t>
      </w:r>
      <w:r w:rsidRPr="00E67A0E">
        <w:t xml:space="preserve"> vai uzsākt jaunu</w:t>
      </w:r>
      <w:r w:rsidR="00EC6974" w:rsidRPr="00E67A0E">
        <w:t>,</w:t>
      </w:r>
      <w:r w:rsidR="00BC54BC" w:rsidRPr="00E67A0E">
        <w:t xml:space="preserve"> produktivitātes ķēdē augstāk novietotu</w:t>
      </w:r>
      <w:r w:rsidRPr="00E67A0E">
        <w:t xml:space="preserve"> produktu ražošanu</w:t>
      </w:r>
      <w:r w:rsidR="007A4158" w:rsidRPr="00E67A0E">
        <w:t xml:space="preserve"> vai pakalpojumu sniegšanu</w:t>
      </w:r>
      <w:r w:rsidRPr="00E67A0E">
        <w:t xml:space="preserve"> ar augstāku pievienoto vērtību, </w:t>
      </w:r>
      <w:r w:rsidR="007A4158" w:rsidRPr="00E67A0E">
        <w:t>tādējādi</w:t>
      </w:r>
      <w:r w:rsidRPr="00E67A0E">
        <w:t xml:space="preserve"> paaugstin</w:t>
      </w:r>
      <w:r w:rsidR="007A4158" w:rsidRPr="00E67A0E">
        <w:t>ot</w:t>
      </w:r>
      <w:r w:rsidRPr="00E67A0E">
        <w:t xml:space="preserve"> </w:t>
      </w:r>
      <w:r w:rsidR="00BC54BC" w:rsidRPr="00E67A0E">
        <w:t xml:space="preserve">Latvijas </w:t>
      </w:r>
      <w:r w:rsidR="00BC54BC" w:rsidRPr="00E67A0E">
        <w:lastRenderedPageBreak/>
        <w:t>tautsaimniecības</w:t>
      </w:r>
      <w:r w:rsidRPr="00E67A0E">
        <w:t xml:space="preserve"> eksporta ienesīgumu un līdz ar to kopējo tautsaimniecības produktivitāti.</w:t>
      </w:r>
    </w:p>
    <w:p w:rsidR="008812C8" w:rsidRPr="00E67A0E" w:rsidRDefault="00AC7F60" w:rsidP="00AC7F60">
      <w:pPr>
        <w:pStyle w:val="Heading2"/>
      </w:pPr>
      <w:bookmarkStart w:id="11" w:name="_Toc341951824"/>
      <w:bookmarkStart w:id="12" w:name="_Toc354732565"/>
      <w:r w:rsidRPr="00E67A0E">
        <w:rPr>
          <w:bCs w:val="0"/>
        </w:rPr>
        <w:t>3.</w:t>
      </w:r>
      <w:r w:rsidRPr="00E67A0E">
        <w:t xml:space="preserve">1. </w:t>
      </w:r>
      <w:r w:rsidR="006572E7" w:rsidRPr="00E67A0E">
        <w:t>Tirgus un valsts nepilnību identificēšanas a</w:t>
      </w:r>
      <w:r w:rsidR="008812C8" w:rsidRPr="00E67A0E">
        <w:t>nalīzes ietvars</w:t>
      </w:r>
      <w:bookmarkEnd w:id="11"/>
      <w:bookmarkEnd w:id="12"/>
    </w:p>
    <w:p w:rsidR="008812C8" w:rsidRPr="00E67A0E" w:rsidRDefault="008812C8" w:rsidP="004922F6">
      <w:r w:rsidRPr="00E67A0E">
        <w:t>Lai identificētu tirgus un valsts nepilnības</w:t>
      </w:r>
      <w:r w:rsidR="00B3735D" w:rsidRPr="00E67A0E">
        <w:t>,</w:t>
      </w:r>
      <w:r w:rsidRPr="00E67A0E">
        <w:t xml:space="preserve"> ir jānovērtē strukturālās transformācijas iespējas. Tāpēc tika veikta eksportspējīgāko nišu un produktu un pakalpojumu ar augstāku pievienotās vērtības potenciālu noteikšana  un padziļināta ražotāju analīze, balstoties uz  Latvijas konkurētspējas ziņojuma 2011.gadam padziļinātā pētījuma „Preču telpas analīze un strukturālās transformācijas iespējas Latvijā” rezultātiem. </w:t>
      </w:r>
    </w:p>
    <w:p w:rsidR="008812C8" w:rsidRPr="00E67A0E" w:rsidRDefault="00AD01ED" w:rsidP="004922F6">
      <w:r w:rsidRPr="00E67A0E">
        <w:t>La</w:t>
      </w:r>
      <w:r w:rsidR="00324622" w:rsidRPr="00E67A0E">
        <w:t>tvijas k</w:t>
      </w:r>
      <w:r w:rsidR="008812C8" w:rsidRPr="00E67A0E">
        <w:t xml:space="preserve">onkurētspējas ziņojuma pētījums  balstās uz R. Hausmana un B. Klingera (Hausmann and Klinger (2006)), kā arī R. Hausmana, Dž. Hvanga un D. Rodrika (Hausmann, Hwang and Rodrik (2005)) izstrādāto  metodoloģiju (turpmāk </w:t>
      </w:r>
      <w:r w:rsidRPr="00E67A0E">
        <w:softHyphen/>
        <w:t xml:space="preserve">- </w:t>
      </w:r>
      <w:r w:rsidR="008812C8" w:rsidRPr="00E67A0E">
        <w:t>H-K metodoloģija). Tās galvenā priekšrocība, salīdzinot ar citām pieej</w:t>
      </w:r>
      <w:r w:rsidR="00B3735D" w:rsidRPr="00E67A0E">
        <w:t>ā</w:t>
      </w:r>
      <w:r w:rsidR="008812C8" w:rsidRPr="00E67A0E">
        <w:t xml:space="preserve">m, ir iespēja novērtēt Latvijas ražošanas diversifikācijas potenciālu un iespējas pāriet uz augstākās pievienotās vērtības produktu ražošanu, ņemot vērā esošo eksporta struktūru un ražošanas salīdzinošās priekšrocības, bez nepieciešamības veikt apjomīgus aprēķinus citiem konkurētspējas rādītājiem.  </w:t>
      </w:r>
    </w:p>
    <w:p w:rsidR="008812C8" w:rsidRPr="00E67A0E" w:rsidRDefault="008812C8" w:rsidP="004922F6">
      <w:r w:rsidRPr="00E67A0E">
        <w:t>Atbilstoši Nacionālās industriālās politikas vadlīnijām, ļoti svarīgs ir analīzes solis – strukturālās transformācijas galveno institucionālo un nozaru specifisko  šķēršļu noteikšana. Kā minēts iepriekš</w:t>
      </w:r>
      <w:r w:rsidR="00EC6974" w:rsidRPr="00E67A0E">
        <w:t>,</w:t>
      </w:r>
      <w:r w:rsidRPr="00E67A0E">
        <w:t xml:space="preserve"> tad atbilstoši pamatprincipam galvenais nav noteikt lielākos</w:t>
      </w:r>
      <w:r w:rsidR="00891A62" w:rsidRPr="00E67A0E">
        <w:t xml:space="preserve"> nozaru</w:t>
      </w:r>
      <w:r w:rsidRPr="00E67A0E">
        <w:t xml:space="preserve"> „čempionus” (</w:t>
      </w:r>
      <w:r w:rsidR="00891A62" w:rsidRPr="00E67A0E">
        <w:rPr>
          <w:i/>
        </w:rPr>
        <w:t>picking w</w:t>
      </w:r>
      <w:r w:rsidRPr="00E67A0E">
        <w:rPr>
          <w:i/>
        </w:rPr>
        <w:t>inners</w:t>
      </w:r>
      <w:r w:rsidRPr="00E67A0E">
        <w:t xml:space="preserve">), bet konstatēt apstākļus, kas kavē pāreju uz jaunām augstāka eksporta ienesīguma aktivitātēm.  Tāpēc pēc H-K metodoloģijas atrastajam eksportspējīgāko produktu sarakstam tika identificēti tie </w:t>
      </w:r>
      <w:r w:rsidR="00223F5E" w:rsidRPr="00F92C76">
        <w:t>komersanti</w:t>
      </w:r>
      <w:r w:rsidRPr="001B302C">
        <w:rPr>
          <w:b/>
        </w:rPr>
        <w:t>,</w:t>
      </w:r>
      <w:r w:rsidRPr="00E67A0E">
        <w:t xml:space="preserve"> kuri ražo vai ir potenciāls ražot šos produktus. </w:t>
      </w:r>
    </w:p>
    <w:p w:rsidR="008812C8" w:rsidRPr="00E67A0E" w:rsidRDefault="008812C8" w:rsidP="004922F6">
      <w:r w:rsidRPr="00E67A0E">
        <w:t>Pēc tam dialogā ar lielākajām nozaru asociācijām tika izvērtēt</w:t>
      </w:r>
      <w:r w:rsidR="00AD01ED" w:rsidRPr="00E67A0E">
        <w:t>i</w:t>
      </w:r>
      <w:r w:rsidRPr="00E67A0E">
        <w:t xml:space="preserve"> H-K</w:t>
      </w:r>
      <w:r w:rsidR="00AD01ED" w:rsidRPr="00E67A0E">
        <w:t xml:space="preserve"> metodoloģijas</w:t>
      </w:r>
      <w:r w:rsidRPr="00E67A0E">
        <w:t xml:space="preserve"> analīzes rezultāti (produktu un uzņēmumu saraksti), iegūstot viedokli par eksportējamo produktu saistību ar Latvijas ekonomiku. Īpaši svarīgi tas bija, ņemot vērā lielo tranzīteksporta daļu Latvijas eksporta struktūrā.</w:t>
      </w:r>
    </w:p>
    <w:p w:rsidR="008812C8" w:rsidRPr="00E67A0E" w:rsidRDefault="008812C8" w:rsidP="004922F6">
      <w:r w:rsidRPr="00E67A0E">
        <w:t xml:space="preserve">Tālāk sekojošās intervijās ar </w:t>
      </w:r>
      <w:r w:rsidR="00223F5E">
        <w:t>komersantiem</w:t>
      </w:r>
      <w:r w:rsidR="00223F5E" w:rsidRPr="00E67A0E">
        <w:t xml:space="preserve"> </w:t>
      </w:r>
      <w:r w:rsidRPr="00E67A0E">
        <w:t>tika iegūta informācija par dažādiem uzņēmējdarbības aspektiem, kas ir būtiski konkurētspējas nodrošināšanai. Intervijas jautājumi tika balstīti uz M.Portera piecu spēku ekonomisko koncepciju</w:t>
      </w:r>
      <w:r w:rsidR="00A71846">
        <w:rPr>
          <w:rStyle w:val="FootnoteReference"/>
        </w:rPr>
        <w:footnoteReference w:id="18"/>
      </w:r>
      <w:r w:rsidR="00A71846">
        <w:t xml:space="preserve"> un</w:t>
      </w:r>
      <w:r w:rsidRPr="00E67A0E">
        <w:t xml:space="preserve"> kritisko veiksmes faktoru ekonomisko koncepciju</w:t>
      </w:r>
      <w:r w:rsidR="00A71846">
        <w:rPr>
          <w:rStyle w:val="FootnoteReference"/>
        </w:rPr>
        <w:footnoteReference w:id="19"/>
      </w:r>
      <w:r w:rsidRPr="00E67A0E">
        <w:t>.</w:t>
      </w:r>
    </w:p>
    <w:p w:rsidR="00073E55" w:rsidRPr="00E67A0E" w:rsidRDefault="008812C8" w:rsidP="004922F6">
      <w:r w:rsidRPr="00E67A0E">
        <w:t>Intervijas rezultātu analīze atklāja galvenos šķēršļus un nepilnības, kas traucē paplašināt esošo produktu ražošanu un pakalpojumu sniegšanu vai uzsākt jaunu produktivitātes ķēdē augstāk novietotu produktu ražošanu vai pakalpojumu sniegšanu.</w:t>
      </w:r>
      <w:r w:rsidR="00C21067" w:rsidRPr="00E67A0E">
        <w:t xml:space="preserve"> </w:t>
      </w:r>
    </w:p>
    <w:p w:rsidR="008812C8" w:rsidRPr="00E67A0E" w:rsidRDefault="00C21067" w:rsidP="004922F6">
      <w:r w:rsidRPr="00E67A0E">
        <w:t>Plašāks analīzes metodes un veikto secīgo soļu apraksts ir ietverts 1.pielikumā.</w:t>
      </w:r>
    </w:p>
    <w:p w:rsidR="00B17721" w:rsidRPr="00E67A0E" w:rsidRDefault="0082557E" w:rsidP="00E977CD">
      <w:pPr>
        <w:pStyle w:val="Heading2"/>
      </w:pPr>
      <w:bookmarkStart w:id="13" w:name="_Toc341951825"/>
      <w:bookmarkStart w:id="14" w:name="_Toc354732566"/>
      <w:r w:rsidRPr="00E67A0E">
        <w:lastRenderedPageBreak/>
        <w:t>3.</w:t>
      </w:r>
      <w:r w:rsidR="00B16655" w:rsidRPr="00E67A0E">
        <w:t>2</w:t>
      </w:r>
      <w:r w:rsidR="00E977CD" w:rsidRPr="00E67A0E">
        <w:t>.</w:t>
      </w:r>
      <w:r w:rsidR="00AC7F60" w:rsidRPr="00E67A0E">
        <w:t xml:space="preserve"> </w:t>
      </w:r>
      <w:r w:rsidR="00E977CD" w:rsidRPr="00E67A0E">
        <w:t>Analīzes secinājumi</w:t>
      </w:r>
      <w:bookmarkEnd w:id="13"/>
      <w:bookmarkEnd w:id="14"/>
    </w:p>
    <w:p w:rsidR="00E977CD" w:rsidRPr="00E67A0E" w:rsidRDefault="00E17675" w:rsidP="004922F6">
      <w:r w:rsidRPr="00E67A0E">
        <w:t>Interviju laikā ir identificētas vairākas konkurētspējas priekšrocības un trūkumi, kuri ir  praktiski līdzvērtīgi visos intervējamos uzņēmumos neatkarīgi no to lieluma, vērtējot pēc darbinieku skaita,</w:t>
      </w:r>
      <w:r w:rsidR="00AD01ED" w:rsidRPr="00E67A0E">
        <w:t xml:space="preserve"> pārstāvētās nozares</w:t>
      </w:r>
      <w:r w:rsidR="00E977CD" w:rsidRPr="00E67A0E">
        <w:t xml:space="preserve"> vai produkta tipa (starpprodukts vai gala produkts). </w:t>
      </w:r>
    </w:p>
    <w:p w:rsidR="00E977CD" w:rsidRPr="00E67A0E" w:rsidRDefault="0082557E" w:rsidP="00E977CD">
      <w:pPr>
        <w:pStyle w:val="Heading3"/>
      </w:pPr>
      <w:bookmarkStart w:id="15" w:name="_Toc341951826"/>
      <w:bookmarkStart w:id="16" w:name="_Toc354732567"/>
      <w:r w:rsidRPr="00E67A0E">
        <w:t>3.</w:t>
      </w:r>
      <w:r w:rsidR="00B16655" w:rsidRPr="00E67A0E">
        <w:t>2</w:t>
      </w:r>
      <w:r w:rsidR="00E977CD" w:rsidRPr="00E67A0E">
        <w:t>.1.</w:t>
      </w:r>
      <w:r w:rsidR="00AC7F60" w:rsidRPr="00E67A0E">
        <w:t xml:space="preserve"> </w:t>
      </w:r>
      <w:r w:rsidR="00E977CD" w:rsidRPr="00E67A0E">
        <w:t>Latvijas uzņēmumu salīdzinošās priekšrocības</w:t>
      </w:r>
      <w:bookmarkEnd w:id="15"/>
      <w:bookmarkEnd w:id="16"/>
    </w:p>
    <w:p w:rsidR="00E977CD" w:rsidRPr="00E67A0E" w:rsidRDefault="00E977CD" w:rsidP="00185FC1">
      <w:pPr>
        <w:pStyle w:val="ListParagraph"/>
        <w:numPr>
          <w:ilvl w:val="0"/>
          <w:numId w:val="37"/>
        </w:numPr>
      </w:pPr>
      <w:r w:rsidRPr="00E67A0E">
        <w:t xml:space="preserve">Kā pirmā ir identificēta </w:t>
      </w:r>
      <w:r w:rsidRPr="00185FC1">
        <w:rPr>
          <w:b/>
        </w:rPr>
        <w:t>cenas priekšrocība</w:t>
      </w:r>
      <w:r w:rsidRPr="00E67A0E">
        <w:t>. Latvijas uzņēmumu galvenā priekšrocība ir piedāvāt produktu vai pakalpojumu ar cenu, kas ir zemāka par galveno reģiona vai pasaules konkurentu cenu, vai arī ir atbilstoša pircēju gaidām par produkcijas cenu.</w:t>
      </w:r>
    </w:p>
    <w:p w:rsidR="00E977CD" w:rsidRPr="00E67A0E" w:rsidRDefault="00AD01ED" w:rsidP="00185FC1">
      <w:pPr>
        <w:pStyle w:val="ListParagraph"/>
        <w:numPr>
          <w:ilvl w:val="0"/>
          <w:numId w:val="37"/>
        </w:numPr>
      </w:pPr>
      <w:r w:rsidRPr="00E67A0E">
        <w:t xml:space="preserve">Sekojoša un cieši saistīta ar cenas priekšrocību ir </w:t>
      </w:r>
      <w:r w:rsidRPr="00185FC1">
        <w:rPr>
          <w:b/>
        </w:rPr>
        <w:t>kvalitātes priekšrocība</w:t>
      </w:r>
      <w:r w:rsidRPr="00E67A0E">
        <w:t>, kas nozīmē, ka pie minētā cenu līmeņa Latvijas ražotāju produkt</w:t>
      </w:r>
      <w:r w:rsidR="00EC6974" w:rsidRPr="00E67A0E">
        <w:t>i</w:t>
      </w:r>
      <w:r w:rsidRPr="00E67A0E">
        <w:t xml:space="preserve"> ir ar līdzvērtīgu vai augstāku kvalitātes līmeni. Jāatzīmē, ka šāda priekšrocība dominē arī citās Eiropas valstīs, turpretim tādos reģionos kā Āzija vai Neatkarīgo valstu savienības (turpmāk – NVS) valstu grupa šajā priekšrocībā izteikti atpaliek no Eiropas ražotājiem un šobrīd nebūtu uzskatāmi par galvenajiem konkurentiem kvalitātes priekšrocībā</w:t>
      </w:r>
      <w:r w:rsidR="00E977CD" w:rsidRPr="00E67A0E">
        <w:t>.</w:t>
      </w:r>
    </w:p>
    <w:p w:rsidR="00E977CD" w:rsidRPr="00E67A0E" w:rsidRDefault="00E17675" w:rsidP="00185FC1">
      <w:pPr>
        <w:pStyle w:val="ListParagraph"/>
        <w:numPr>
          <w:ilvl w:val="0"/>
          <w:numId w:val="37"/>
        </w:numPr>
      </w:pPr>
      <w:r w:rsidRPr="00E67A0E">
        <w:t xml:space="preserve">Diskusijās ar nozaru asociācijām un uzņēmumu intervijām ir identificēts, ka Latvijas ražotāju priekšrocība, lai arī pastāv atsevišķi izņēmumi, ir saistīta ar </w:t>
      </w:r>
      <w:r w:rsidRPr="00185FC1">
        <w:rPr>
          <w:b/>
        </w:rPr>
        <w:t>darbību nišas produktu un produkcijas ar augstu pielāgotības pakāpi ražošanā</w:t>
      </w:r>
      <w:r w:rsidRPr="00E67A0E">
        <w:t>, kas vienlaikus ir arī vēsturiski attīstīta priekšrocība (specifiskas tirgus zināšanas, vēsturiskas sadarbības saites ar attiecīgo tirgu) standarta produktu ražošanā. Pie tam darbība nišās ir saistīta ar spēju atklāt specifiskās tirgus vajadzības un piedāvāt savu produktu. Šī priekšrocība garantē darbību jomās, kur standarta risinājumi nav piemērojami specifisku ražošanas apstākļu dēļ, kā rezultātā ir nepieciešams piedāvāt standarta produkcijai atbilstošu, bet specifiski pielāgotu produktu</w:t>
      </w:r>
      <w:r w:rsidR="00E977CD" w:rsidRPr="00E67A0E">
        <w:t>.</w:t>
      </w:r>
    </w:p>
    <w:p w:rsidR="00E977CD" w:rsidRPr="00E67A0E" w:rsidRDefault="00AD01ED" w:rsidP="00185FC1">
      <w:pPr>
        <w:pStyle w:val="ListParagraph"/>
        <w:numPr>
          <w:ilvl w:val="0"/>
          <w:numId w:val="37"/>
        </w:numPr>
      </w:pPr>
      <w:r w:rsidRPr="00E67A0E">
        <w:t xml:space="preserve">Izveidojušās ražošanas jaudas un </w:t>
      </w:r>
      <w:r w:rsidRPr="00185FC1">
        <w:rPr>
          <w:b/>
        </w:rPr>
        <w:t>lielā elastība</w:t>
      </w:r>
      <w:r w:rsidRPr="00E67A0E">
        <w:t xml:space="preserve"> nozīmē arī to, ka uzņēmumi ir elastīgi ne tikai produktu piedāvājumā, bet arī ir ļoti elastīgi pasūtījuma apjomā, kas ļauj piesaistīt produktu un pakalpojumu pircējus, kuriem Āzijas reģiona noteiktais minimālais pasūtījuma apjoms ir pārāk liels</w:t>
      </w:r>
      <w:r w:rsidR="00E977CD" w:rsidRPr="00E67A0E">
        <w:t>.</w:t>
      </w:r>
    </w:p>
    <w:p w:rsidR="00E977CD" w:rsidRPr="00E67A0E" w:rsidRDefault="00AD01ED" w:rsidP="00185FC1">
      <w:pPr>
        <w:pStyle w:val="ListParagraph"/>
        <w:numPr>
          <w:ilvl w:val="0"/>
          <w:numId w:val="37"/>
        </w:numPr>
      </w:pPr>
      <w:r w:rsidRPr="00E67A0E">
        <w:t>Priekšrocība „</w:t>
      </w:r>
      <w:r w:rsidRPr="00185FC1">
        <w:rPr>
          <w:b/>
        </w:rPr>
        <w:t>pasūtījuma piegāde laikā</w:t>
      </w:r>
      <w:r w:rsidRPr="00E67A0E">
        <w:t>” no nozares uzņēmumu puses tiek uzsvērta kā īpaši būtiska, kas ļauj konkurēt ar ģeogrāfiski tuviem konkurentiem, bet ar lētākiem resursiem (piemēram, darbaspēka) – Baltkrievija un citas NVS valstis. Veicot pasūtījumu Latvijas ražotājam vai preču iegādi no tiem, Latvijas uzņēmumi garantē un nodrošina, ka prece vai pakalpojums, ievērojot kvalitātes un elastības priekšrocības, tiks piegādāts līgumā noteiktajā laikā</w:t>
      </w:r>
      <w:r w:rsidR="00E977CD" w:rsidRPr="00E67A0E">
        <w:t>.</w:t>
      </w:r>
    </w:p>
    <w:p w:rsidR="00E17675" w:rsidRPr="00E67A0E" w:rsidRDefault="00E17675" w:rsidP="00185FC1">
      <w:pPr>
        <w:pStyle w:val="ListParagraph"/>
        <w:numPr>
          <w:ilvl w:val="0"/>
          <w:numId w:val="37"/>
        </w:numPr>
      </w:pPr>
      <w:r w:rsidRPr="00E67A0E">
        <w:t xml:space="preserve">No iepriekš minētā, jo īpaši elastības, izriet priekšrocība, kas ir saistīta ar </w:t>
      </w:r>
      <w:r w:rsidRPr="00185FC1">
        <w:rPr>
          <w:b/>
        </w:rPr>
        <w:t>augstas kvalifikācijas speciālistu esamību</w:t>
      </w:r>
      <w:r w:rsidRPr="00E67A0E">
        <w:t xml:space="preserve"> uzņēmumos, kuri spēj </w:t>
      </w:r>
      <w:r w:rsidRPr="00E67A0E">
        <w:lastRenderedPageBreak/>
        <w:t>nodrošināt pastāvīgu produkta pielāgošanu, atbilstoši klienta prasībām, kā arī nodrošina pastāvīgu un sistemātisku produkta uzlabošanu, ņemot vērā tendences izejvielu tirgū vai pieaugošas prasības pēc labākām produkta īpašībām.</w:t>
      </w:r>
    </w:p>
    <w:p w:rsidR="00E977CD" w:rsidRPr="00E67A0E" w:rsidRDefault="00E17675" w:rsidP="00185FC1">
      <w:pPr>
        <w:pStyle w:val="ListParagraph"/>
        <w:numPr>
          <w:ilvl w:val="0"/>
          <w:numId w:val="37"/>
        </w:numPr>
      </w:pPr>
      <w:r w:rsidRPr="00E67A0E">
        <w:t>Visbeidzot, no veiktajām intervijām ar uzņēmumiem izriet, ka attiecībā uz produktiem, jo īpaši tiem, kurus iegādājas gala patērētājs, sāk dominēt tendence, ka ražošanas ģeogrāfiskajai vietai, respektīvi, zīmolam „</w:t>
      </w:r>
      <w:r w:rsidRPr="00185FC1">
        <w:rPr>
          <w:b/>
        </w:rPr>
        <w:t>ražots ES</w:t>
      </w:r>
      <w:r w:rsidRPr="00E67A0E">
        <w:t>”, tiek pievērsta arvien lielāka nozīme un pasūtījumi pie vienādiem vai nedaudz labākiem Āzijas vai NVS ražotāju piedāvājumiem tiek  izvietoti pie ES valstu, tostarp Latvijas ražotājiem vai pakalpojumu sniedzējiem</w:t>
      </w:r>
      <w:r w:rsidR="00263EE4" w:rsidRPr="00E67A0E">
        <w:t>.</w:t>
      </w:r>
    </w:p>
    <w:p w:rsidR="00E977CD" w:rsidRPr="00E67A0E" w:rsidRDefault="0082557E" w:rsidP="00E977CD">
      <w:pPr>
        <w:pStyle w:val="Heading3"/>
      </w:pPr>
      <w:bookmarkStart w:id="17" w:name="_Toc341951827"/>
      <w:bookmarkStart w:id="18" w:name="_Toc354732568"/>
      <w:r w:rsidRPr="00E67A0E">
        <w:t>3</w:t>
      </w:r>
      <w:r w:rsidR="00E977CD" w:rsidRPr="00E67A0E">
        <w:t>.</w:t>
      </w:r>
      <w:r w:rsidR="00B16655" w:rsidRPr="00E67A0E">
        <w:t>2</w:t>
      </w:r>
      <w:r w:rsidR="00E977CD" w:rsidRPr="00E67A0E">
        <w:t>.2.</w:t>
      </w:r>
      <w:r w:rsidR="00AC7F60" w:rsidRPr="00E67A0E">
        <w:t xml:space="preserve"> </w:t>
      </w:r>
      <w:r w:rsidR="00E977CD" w:rsidRPr="00E67A0E">
        <w:t>Identificētās tirgus kļūdas</w:t>
      </w:r>
      <w:bookmarkEnd w:id="17"/>
      <w:bookmarkEnd w:id="18"/>
    </w:p>
    <w:p w:rsidR="008772DD" w:rsidRPr="00E67A0E" w:rsidRDefault="00324622" w:rsidP="008772DD">
      <w:r w:rsidRPr="00E67A0E">
        <w:t xml:space="preserve">Ekonomikas zinātniskās literatūras avotos ir atrodama vairāku autoru izstrādāta tirgus kļūdu jeb </w:t>
      </w:r>
      <w:r w:rsidR="002B75CD" w:rsidRPr="00E67A0E">
        <w:t>ierobežojumu</w:t>
      </w:r>
      <w:r w:rsidRPr="00E67A0E">
        <w:t xml:space="preserve"> klasifikācija. </w:t>
      </w:r>
      <w:r w:rsidR="00263EE4" w:rsidRPr="00E67A0E">
        <w:t>Nacionālās</w:t>
      </w:r>
      <w:r w:rsidRPr="00E67A0E">
        <w:t xml:space="preserve"> industriālās politikas ietvarā ti</w:t>
      </w:r>
      <w:r w:rsidR="00E17675" w:rsidRPr="00E67A0E">
        <w:t>ek</w:t>
      </w:r>
      <w:r w:rsidRPr="00E67A0E">
        <w:t xml:space="preserve"> izmantots sadalījums</w:t>
      </w:r>
      <w:r w:rsidR="00AD01ED" w:rsidRPr="00E67A0E">
        <w:t>,</w:t>
      </w:r>
      <w:r w:rsidR="008772DD" w:rsidRPr="00E67A0E">
        <w:t xml:space="preserve"> nošķirot</w:t>
      </w:r>
      <w:r w:rsidRPr="00E67A0E">
        <w:t xml:space="preserve"> sistēmisk</w:t>
      </w:r>
      <w:r w:rsidR="002B75CD" w:rsidRPr="00E67A0E">
        <w:t>o</w:t>
      </w:r>
      <w:r w:rsidR="00AD01ED" w:rsidRPr="00E67A0E">
        <w:t>s</w:t>
      </w:r>
      <w:r w:rsidR="008772DD" w:rsidRPr="00E67A0E">
        <w:t xml:space="preserve"> jeb</w:t>
      </w:r>
      <w:r w:rsidRPr="00E67A0E">
        <w:t xml:space="preserve"> funkcionāl</w:t>
      </w:r>
      <w:r w:rsidR="002B75CD" w:rsidRPr="00E67A0E">
        <w:t>o</w:t>
      </w:r>
      <w:r w:rsidR="008772DD" w:rsidRPr="00E67A0E">
        <w:t>s</w:t>
      </w:r>
      <w:r w:rsidRPr="00E67A0E">
        <w:t xml:space="preserve"> </w:t>
      </w:r>
      <w:r w:rsidR="002B75CD" w:rsidRPr="00E67A0E">
        <w:t>tirgus ierobežojumus</w:t>
      </w:r>
      <w:r w:rsidR="008772DD" w:rsidRPr="00E67A0E">
        <w:t xml:space="preserve"> (Smit</w:t>
      </w:r>
      <w:r w:rsidR="002A65A2">
        <w:t>a</w:t>
      </w:r>
      <w:r w:rsidR="008772DD" w:rsidRPr="00E67A0E">
        <w:t xml:space="preserve">, 2000) un produktu segmentu </w:t>
      </w:r>
      <w:r w:rsidR="00902BD3" w:rsidRPr="00E67A0E">
        <w:t>specifisk</w:t>
      </w:r>
      <w:r w:rsidR="002B75CD" w:rsidRPr="00E67A0E">
        <w:t>o</w:t>
      </w:r>
      <w:r w:rsidR="00902BD3" w:rsidRPr="00E67A0E">
        <w:t>s</w:t>
      </w:r>
      <w:r w:rsidR="008772DD" w:rsidRPr="00E67A0E">
        <w:t xml:space="preserve"> </w:t>
      </w:r>
      <w:r w:rsidR="002B75CD" w:rsidRPr="00E67A0E">
        <w:t>tirgus ierobežojumus</w:t>
      </w:r>
      <w:r w:rsidR="008772DD" w:rsidRPr="00E67A0E">
        <w:t xml:space="preserve">. </w:t>
      </w:r>
      <w:r w:rsidR="002A65A2">
        <w:t>K.</w:t>
      </w:r>
      <w:r w:rsidR="008772DD" w:rsidRPr="00E67A0E">
        <w:t>Smit</w:t>
      </w:r>
      <w:r w:rsidR="002A65A2">
        <w:t>a</w:t>
      </w:r>
      <w:r w:rsidR="008772DD" w:rsidRPr="00E67A0E">
        <w:t xml:space="preserve"> savās atziņās funkcionāl</w:t>
      </w:r>
      <w:r w:rsidR="002B75CD" w:rsidRPr="00E67A0E">
        <w:t>o</w:t>
      </w:r>
      <w:r w:rsidR="008772DD" w:rsidRPr="00E67A0E">
        <w:t xml:space="preserve">s tirgus </w:t>
      </w:r>
      <w:r w:rsidR="002B75CD" w:rsidRPr="00E67A0E">
        <w:t>ierobežojumus</w:t>
      </w:r>
      <w:r w:rsidR="008772DD" w:rsidRPr="00E67A0E">
        <w:t xml:space="preserve"> ir iedalīj</w:t>
      </w:r>
      <w:r w:rsidR="002A65A2">
        <w:t>usi</w:t>
      </w:r>
      <w:r w:rsidR="008772DD" w:rsidRPr="00E67A0E">
        <w:t xml:space="preserve"> četros apakštipos:</w:t>
      </w:r>
    </w:p>
    <w:p w:rsidR="008772DD" w:rsidRPr="00E67A0E" w:rsidRDefault="001906F7" w:rsidP="008772DD">
      <w:pPr>
        <w:pStyle w:val="ListParagraph"/>
        <w:numPr>
          <w:ilvl w:val="0"/>
          <w:numId w:val="23"/>
        </w:numPr>
      </w:pPr>
      <w:r>
        <w:t>kapacitātes</w:t>
      </w:r>
      <w:r w:rsidR="00B1526F">
        <w:t xml:space="preserve"> un spēju</w:t>
      </w:r>
      <w:r w:rsidR="00902BD3" w:rsidRPr="00E67A0E">
        <w:t xml:space="preserve"> ierobežojumi</w:t>
      </w:r>
      <w:r w:rsidR="008772DD" w:rsidRPr="00E67A0E">
        <w:t xml:space="preserve"> (</w:t>
      </w:r>
      <w:r w:rsidR="008772DD" w:rsidRPr="001A02EE">
        <w:rPr>
          <w:i/>
        </w:rPr>
        <w:t>capability failures</w:t>
      </w:r>
      <w:r w:rsidR="008772DD" w:rsidRPr="00E67A0E">
        <w:t>)</w:t>
      </w:r>
      <w:r w:rsidR="002A65A2">
        <w:t xml:space="preserve"> – ar šiem ierobežojumiem tiek saprasta ierobežota kompāniju spēja dēļ menedžmenta deficīta, nepietiekošas tehnoloģiju zināšanu un </w:t>
      </w:r>
      <w:r w:rsidR="00FA306F">
        <w:t>„</w:t>
      </w:r>
      <w:r w:rsidR="002A65A2">
        <w:t>know-how</w:t>
      </w:r>
      <w:r w:rsidR="00FA306F">
        <w:t>”</w:t>
      </w:r>
      <w:r w:rsidR="002A65A2">
        <w:t xml:space="preserve"> esamības uzņēmumā, uzņēmuma iekšienē organizēta apmācības procesa  </w:t>
      </w:r>
      <w:r w:rsidR="00185FC1">
        <w:t xml:space="preserve"> – skat. </w:t>
      </w:r>
      <w:r w:rsidR="008A3FD0">
        <w:t>3.2.2.1.</w:t>
      </w:r>
      <w:r w:rsidR="00185FC1">
        <w:t>apakšsadaļu</w:t>
      </w:r>
      <w:r w:rsidR="008772DD" w:rsidRPr="00E67A0E">
        <w:t>;</w:t>
      </w:r>
    </w:p>
    <w:p w:rsidR="008A3FD0" w:rsidRPr="00E67A0E" w:rsidRDefault="008A3FD0" w:rsidP="008A3FD0">
      <w:pPr>
        <w:pStyle w:val="ListParagraph"/>
        <w:numPr>
          <w:ilvl w:val="0"/>
          <w:numId w:val="23"/>
        </w:numPr>
      </w:pPr>
      <w:r w:rsidRPr="00E67A0E">
        <w:t>regulējuma ierobežojumi (</w:t>
      </w:r>
      <w:r w:rsidRPr="001A02EE">
        <w:rPr>
          <w:i/>
        </w:rPr>
        <w:t>framework failure</w:t>
      </w:r>
      <w:r w:rsidRPr="00E67A0E">
        <w:t>)</w:t>
      </w:r>
      <w:r w:rsidR="00434548">
        <w:t xml:space="preserve"> – ierobežojumi, kas izriet no valsts likumdošanas, piemēram intelektuālā īpašuma aizsardzības. Kļūda arī ietver sociālās vērtības aspektus, kas nosaka patērētāju uzvedību.</w:t>
      </w:r>
      <w:r>
        <w:t xml:space="preserve"> – skat. 3.2.2.2.apakšsadaļu</w:t>
      </w:r>
      <w:r w:rsidRPr="00E67A0E">
        <w:t>;</w:t>
      </w:r>
    </w:p>
    <w:p w:rsidR="008772DD" w:rsidRPr="00E67A0E" w:rsidRDefault="00CE44D7" w:rsidP="008772DD">
      <w:pPr>
        <w:pStyle w:val="ListParagraph"/>
        <w:numPr>
          <w:ilvl w:val="0"/>
          <w:numId w:val="23"/>
        </w:numPr>
      </w:pPr>
      <w:r w:rsidRPr="00E67A0E">
        <w:t>sadarbības</w:t>
      </w:r>
      <w:r w:rsidR="00324622" w:rsidRPr="00E67A0E">
        <w:t xml:space="preserve"> </w:t>
      </w:r>
      <w:r w:rsidR="00902BD3" w:rsidRPr="00E67A0E">
        <w:t>ierobežojumi</w:t>
      </w:r>
      <w:r w:rsidR="008772DD" w:rsidRPr="00E67A0E">
        <w:t xml:space="preserve"> (</w:t>
      </w:r>
      <w:r w:rsidR="008772DD" w:rsidRPr="001A02EE">
        <w:rPr>
          <w:i/>
        </w:rPr>
        <w:t>network failure</w:t>
      </w:r>
      <w:r w:rsidR="008772DD" w:rsidRPr="00E67A0E">
        <w:t>)</w:t>
      </w:r>
      <w:r w:rsidR="00185FC1">
        <w:t xml:space="preserve"> </w:t>
      </w:r>
      <w:r w:rsidR="00434548">
        <w:t>– ierobežojumi, kas izriet no sistēmas locekļu savstarpējās sadarbības</w:t>
      </w:r>
      <w:r w:rsidR="00FB275E">
        <w:t xml:space="preserve"> ierobežojumiem, piemēram neatbilstoš</w:t>
      </w:r>
      <w:r w:rsidR="0001291F">
        <w:t>i apjomi kādā no sistēmas dalībnieku pusēm un sadarbības kvalitāte</w:t>
      </w:r>
      <w:r w:rsidR="00434548">
        <w:t xml:space="preserve"> </w:t>
      </w:r>
      <w:r w:rsidR="00185FC1">
        <w:t xml:space="preserve">– skat. </w:t>
      </w:r>
      <w:r w:rsidR="008A3FD0">
        <w:t>3.2.2.3.apakšsadaļu</w:t>
      </w:r>
      <w:r w:rsidR="008772DD" w:rsidRPr="00E67A0E">
        <w:t>;</w:t>
      </w:r>
    </w:p>
    <w:p w:rsidR="00324622" w:rsidRPr="00E67A0E" w:rsidRDefault="005F6EB4" w:rsidP="00324622">
      <w:pPr>
        <w:pStyle w:val="ListParagraph"/>
        <w:numPr>
          <w:ilvl w:val="0"/>
          <w:numId w:val="23"/>
        </w:numPr>
      </w:pPr>
      <w:r w:rsidRPr="00E67A0E">
        <w:t>institucionāl</w:t>
      </w:r>
      <w:r w:rsidR="00902BD3" w:rsidRPr="00E67A0E">
        <w:t>ie</w:t>
      </w:r>
      <w:r w:rsidRPr="00E67A0E">
        <w:t xml:space="preserve"> </w:t>
      </w:r>
      <w:r w:rsidR="00902BD3" w:rsidRPr="00E67A0E">
        <w:t>ierobežojumi</w:t>
      </w:r>
      <w:r w:rsidRPr="00E67A0E">
        <w:t xml:space="preserve"> (</w:t>
      </w:r>
      <w:r w:rsidRPr="001A02EE">
        <w:rPr>
          <w:i/>
        </w:rPr>
        <w:t>institutional failure</w:t>
      </w:r>
      <w:r w:rsidRPr="00E67A0E">
        <w:t>)</w:t>
      </w:r>
      <w:r w:rsidR="002A65A2">
        <w:t xml:space="preserve"> – neatbilstības citos sistēmas dalībniek</w:t>
      </w:r>
      <w:r w:rsidR="00434548">
        <w:t>o</w:t>
      </w:r>
      <w:r w:rsidR="002A65A2">
        <w:t>s, piemēram, universitātēs</w:t>
      </w:r>
      <w:r w:rsidR="00434548">
        <w:t xml:space="preserve"> un zinātniski pētnieciskos institūtos, ierobežota spēja pielāgoties dinamiskām tirgus prasībām</w:t>
      </w:r>
      <w:r w:rsidR="008A3FD0">
        <w:t xml:space="preserve"> – netika identificēti</w:t>
      </w:r>
      <w:r w:rsidR="00CE44D7" w:rsidRPr="00E67A0E">
        <w:t>.</w:t>
      </w:r>
    </w:p>
    <w:p w:rsidR="00E977CD" w:rsidRPr="00E67A0E" w:rsidRDefault="00E977CD" w:rsidP="004922F6">
      <w:r w:rsidRPr="00E67A0E">
        <w:t>Atbilstoši identificētajām konkurētspējas priekšrocībām un veicot interviju analīzi</w:t>
      </w:r>
      <w:r w:rsidR="00AD01ED" w:rsidRPr="00E67A0E">
        <w:t>,</w:t>
      </w:r>
      <w:r w:rsidRPr="00E67A0E">
        <w:t xml:space="preserve"> ir identificēti sekojoši būtiskākie šķēršļi jeb tirgus kļūdas.</w:t>
      </w:r>
    </w:p>
    <w:p w:rsidR="005F6EB4" w:rsidRPr="00E67A0E" w:rsidRDefault="0082557E" w:rsidP="005F6EB4">
      <w:pPr>
        <w:pStyle w:val="Heading4"/>
      </w:pPr>
      <w:bookmarkStart w:id="19" w:name="_Toc354732569"/>
      <w:r w:rsidRPr="00E67A0E">
        <w:t>3</w:t>
      </w:r>
      <w:r w:rsidR="005F6EB4" w:rsidRPr="00E67A0E">
        <w:t>.2.2.1.</w:t>
      </w:r>
      <w:r w:rsidR="00AC7F60" w:rsidRPr="00E67A0E">
        <w:t xml:space="preserve"> </w:t>
      </w:r>
      <w:r w:rsidR="00902BD3" w:rsidRPr="00E67A0E">
        <w:t>Kapacitātes</w:t>
      </w:r>
      <w:r w:rsidR="00B1526F">
        <w:t xml:space="preserve"> un spēju</w:t>
      </w:r>
      <w:r w:rsidR="00902BD3" w:rsidRPr="00E67A0E">
        <w:t xml:space="preserve"> ierobežojumi</w:t>
      </w:r>
      <w:bookmarkEnd w:id="19"/>
    </w:p>
    <w:p w:rsidR="00B1526F" w:rsidRPr="00E67A0E" w:rsidRDefault="00B1526F" w:rsidP="00B1526F">
      <w:r w:rsidRPr="00E67A0E">
        <w:rPr>
          <w:b/>
        </w:rPr>
        <w:t xml:space="preserve">Darba spēka pieejamība un zināšanas. </w:t>
      </w:r>
      <w:r w:rsidR="00275C7E" w:rsidRPr="008E035F">
        <w:t>Š</w:t>
      </w:r>
      <w:r w:rsidR="00275C7E" w:rsidRPr="00E67A0E">
        <w:t>ķērslis, kas ir identificēts šobrīd, bet ar ilgtermiņa raksturu, ir nodarbinātības un kvalificēta darbaspēka pieejamība</w:t>
      </w:r>
      <w:r w:rsidR="00275C7E">
        <w:t xml:space="preserve"> nākotnē</w:t>
      </w:r>
      <w:r w:rsidR="00275C7E" w:rsidRPr="00E67A0E">
        <w:t xml:space="preserve">. </w:t>
      </w:r>
      <w:r w:rsidR="00275C7E">
        <w:t>A</w:t>
      </w:r>
      <w:r w:rsidR="00275C7E" w:rsidRPr="00E67A0E">
        <w:t>ugsta elastības pakāpe uzņēmumos tiek panākta ar atbilstoša zināšanu līmeņa darbaspēka pieejamību,</w:t>
      </w:r>
      <w:r w:rsidR="00275C7E">
        <w:t xml:space="preserve"> vienlaikus, atbilstoši respondentu sniegtajiem </w:t>
      </w:r>
      <w:r w:rsidR="00275C7E">
        <w:lastRenderedPageBreak/>
        <w:t>viedokļiem,</w:t>
      </w:r>
      <w:r w:rsidR="00275C7E" w:rsidRPr="00E67A0E">
        <w:t xml:space="preserve">, trūkst  vidējās profesionālās  kvalifikācijas darbaspēks un  tā prasmes  neatbilst darba tirgus prasībām. </w:t>
      </w:r>
      <w:r w:rsidR="00275C7E">
        <w:t>K</w:t>
      </w:r>
      <w:r w:rsidR="00275C7E" w:rsidRPr="00E67A0E">
        <w:t>ā īpaši kritiska tiek atzīmēta situācija ar augstākās profesionālās kvalifikācijas speciālistu pieejamību. Respondenti ir norādījuši, ka atsevišķ</w:t>
      </w:r>
      <w:r w:rsidR="00275C7E">
        <w:t>ā</w:t>
      </w:r>
      <w:r w:rsidR="00275C7E" w:rsidRPr="00E67A0E">
        <w:t>s profesij</w:t>
      </w:r>
      <w:r w:rsidR="00275C7E">
        <w:t>ā</w:t>
      </w:r>
      <w:r w:rsidR="00275C7E" w:rsidRPr="00E67A0E">
        <w:t>s, kur</w:t>
      </w:r>
      <w:r w:rsidR="00275C7E">
        <w:t xml:space="preserve"> speciālistus</w:t>
      </w:r>
      <w:r w:rsidR="00275C7E" w:rsidRPr="00E67A0E">
        <w:t xml:space="preserve"> nesagatavo Latvijas augstākās izglītības sistēmā</w:t>
      </w:r>
      <w:r w:rsidR="00275C7E">
        <w:t xml:space="preserve"> (</w:t>
      </w:r>
      <w:r w:rsidR="00275C7E" w:rsidRPr="00E67A0E">
        <w:t xml:space="preserve">piemēram, </w:t>
      </w:r>
      <w:r w:rsidR="00275C7E">
        <w:t>profesijā „</w:t>
      </w:r>
      <w:r w:rsidR="00275C7E" w:rsidRPr="00E67A0E">
        <w:t>metāla vai ķīmijas tehnologs</w:t>
      </w:r>
      <w:r w:rsidR="00275C7E">
        <w:t>”)</w:t>
      </w:r>
      <w:r w:rsidR="00275C7E" w:rsidRPr="00E67A0E">
        <w:t xml:space="preserve"> jau šobrīd</w:t>
      </w:r>
      <w:r w:rsidR="00275C7E">
        <w:t xml:space="preserve"> ir vērojams darbinieku trūkums, jo šajā specialitātē strādā</w:t>
      </w:r>
      <w:r w:rsidR="00275C7E" w:rsidRPr="00E67A0E">
        <w:t xml:space="preserve"> darbinieki pirmspensijas un pensijas vecumā</w:t>
      </w:r>
      <w:r w:rsidRPr="00E67A0E">
        <w:t>.</w:t>
      </w:r>
    </w:p>
    <w:p w:rsidR="00B1526F" w:rsidRPr="00E67A0E" w:rsidRDefault="00B1526F" w:rsidP="00B1526F">
      <w:r w:rsidRPr="00E67A0E">
        <w:rPr>
          <w:b/>
        </w:rPr>
        <w:t>Menedžmenta prasmes un zināšanas</w:t>
      </w:r>
      <w:r w:rsidRPr="00E67A0E">
        <w:t>. Saistīts ar kvalificēta darba spēka pieejamību ir šķērslis, kas ir identificēts attiecībā uz uzņēmuma vadības, īpašnieku un atbildīgo speciālistu zināšanām un prasmēm. No respondentu atbildēm ir identificēts, ka uzņēmumu tālākas darbības attīstībai, jo īpaši motivācijai pāriet uz jaunu produktu ar augstāku pievienoto vērtību ražošanu vai jauna uzņēmuma attīstības līmeņa sasniegšanai ir nepieciešams uzlabot tādas prasmes, kā pārdošana, riska un kvalitātes vadība, finanšu plānošana un vadība,</w:t>
      </w:r>
      <w:r w:rsidR="00D90CFE">
        <w:t xml:space="preserve"> dizaina procesa vadība,</w:t>
      </w:r>
      <w:r w:rsidRPr="00E67A0E">
        <w:t xml:space="preserve"> bet jo īpaši ražošanas procesa vadība un optimizācija. Šādu prasmju un zināšanu iegūšana veicinātu uzņēmumu izaugsmi un nostiprināšanos nišas tirgos.</w:t>
      </w:r>
    </w:p>
    <w:p w:rsidR="00E977CD" w:rsidRPr="00E67A0E" w:rsidRDefault="00CE44D7" w:rsidP="004922F6">
      <w:r w:rsidRPr="00E67A0E">
        <w:rPr>
          <w:b/>
        </w:rPr>
        <w:t>Ierobežota piekļuve finansējumam</w:t>
      </w:r>
      <w:r w:rsidRPr="00E67A0E">
        <w:t xml:space="preserve">. </w:t>
      </w:r>
      <w:r w:rsidR="00E977CD" w:rsidRPr="00E67A0E">
        <w:t>Aptaujas laikā respondenti ir norādījuši, ka darbība, kas izriet no elastības priekšrocībām (produktu pielāgošana un apjoma elastība) ir saistīt</w:t>
      </w:r>
      <w:r w:rsidR="00E17675" w:rsidRPr="00E67A0E">
        <w:t>a</w:t>
      </w:r>
      <w:r w:rsidR="00E977CD" w:rsidRPr="00E67A0E">
        <w:t xml:space="preserve"> ar problemātiku piekļūt komercbanku sektora finanšu instrumentiem. Kā kritiska tiek norādīta komercbanku speciālistu spēja izvērtēt biznesa specifiku, jo īpaši apstākļus, ka pasūtījumi nav ilgtermiņa un naudas plūsma ir mainīga un neprognozējama </w:t>
      </w:r>
      <w:r w:rsidR="00263EE4" w:rsidRPr="00E67A0E">
        <w:t>vidējā termiņā vai ilgtermiņā</w:t>
      </w:r>
      <w:r w:rsidR="00E977CD" w:rsidRPr="00E67A0E">
        <w:t xml:space="preserve">. Līdz ar to </w:t>
      </w:r>
      <w:r w:rsidR="00263EE4" w:rsidRPr="00E67A0E">
        <w:t>uzņēmumam</w:t>
      </w:r>
      <w:r w:rsidR="00E977CD" w:rsidRPr="00E67A0E">
        <w:t xml:space="preserve"> tiek piedāvāts reālajām vajadzībām neatbilstošs pakalpojumu loks, </w:t>
      </w:r>
      <w:r w:rsidR="00263EE4" w:rsidRPr="00E67A0E">
        <w:t>vai arī uzņēmumam</w:t>
      </w:r>
      <w:r w:rsidR="00E977CD" w:rsidRPr="00E67A0E">
        <w:t xml:space="preserve"> tiek piemērota paaugstināta riska procenta komponente, palielinot maksu par finanšu līdzekļiem</w:t>
      </w:r>
      <w:r w:rsidR="001634C8" w:rsidRPr="00E67A0E">
        <w:t>,</w:t>
      </w:r>
      <w:r w:rsidR="00E977CD" w:rsidRPr="00E67A0E">
        <w:t xml:space="preserve"> vai arī tiek atteikts bankas finansējums, jo </w:t>
      </w:r>
      <w:r w:rsidR="001634C8" w:rsidRPr="00E67A0E">
        <w:t>pārāk lielo</w:t>
      </w:r>
      <w:r w:rsidR="00E977CD" w:rsidRPr="00E67A0E">
        <w:t xml:space="preserve"> faktoru</w:t>
      </w:r>
      <w:r w:rsidR="001634C8" w:rsidRPr="00E67A0E">
        <w:t xml:space="preserve"> variācijas ietekmē</w:t>
      </w:r>
      <w:r w:rsidR="00E977CD" w:rsidRPr="00E67A0E">
        <w:t xml:space="preserve"> finanšu iestāde nav spējīga izvērtēt uzņēmuma finanšu stāvokli un attīstības perspektīvas. Vienlaikus ir identificē</w:t>
      </w:r>
      <w:r w:rsidR="001634C8" w:rsidRPr="00E67A0E">
        <w:t>ts</w:t>
      </w:r>
      <w:r w:rsidR="00E977CD" w:rsidRPr="00E67A0E">
        <w:t>, ka respondentiem</w:t>
      </w:r>
      <w:r w:rsidR="00EC6974" w:rsidRPr="00E67A0E">
        <w:t>,</w:t>
      </w:r>
      <w:r w:rsidR="00E977CD" w:rsidRPr="00E67A0E">
        <w:t xml:space="preserve"> turpinot eksporta risku diversifikāciju un pāreju uz jaunu, jo īpaši trešo valstu eksporta tirgu apgūšanu, palielinās riski saistīti ar eksporta darījumiem, kā arī palielinās naudas plūsmas aprites laiks, jo trešo valstu tirgos tipisks darījumu veids ir ar atmaksas termiņu līdz 120 dienām.</w:t>
      </w:r>
    </w:p>
    <w:p w:rsidR="00E17675" w:rsidRPr="00E67A0E" w:rsidRDefault="00E17675" w:rsidP="00E17675">
      <w:r w:rsidRPr="00E67A0E">
        <w:rPr>
          <w:b/>
        </w:rPr>
        <w:t>Ierobežots industriālo zonu un telpu piedāvājums</w:t>
      </w:r>
      <w:r w:rsidRPr="00E67A0E">
        <w:t xml:space="preserve">. Identificētais šķērslis ir attiecināms uz reģionālo dimensiju un uz uzņēmumiem, kas pāriet no inkubācijas darbības posma uz stabilas izaugsmes darbības posmu. </w:t>
      </w:r>
      <w:r w:rsidR="009916F2">
        <w:t>I</w:t>
      </w:r>
      <w:r w:rsidRPr="00E67A0E">
        <w:t xml:space="preserve">zvērtējot respondentu sniegto informāciju ir secināms, ka primāri ārpus Rīgas aglomerācijas robežām nav pieejams kvalitatīvs industriālo teritoriju un telpu piedāvājums. </w:t>
      </w:r>
      <w:r w:rsidR="00B1526F" w:rsidRPr="00B1526F">
        <w:t>Savukārt respondenti</w:t>
      </w:r>
      <w:r w:rsidR="00B1526F" w:rsidRPr="00E67A0E">
        <w:t xml:space="preserve"> no reģioniem, kas neietilpst bijušo industriālo objektu zonā, tipiski saskaras ar kvalitatīvas industriālās infrastruktūras nodrošinājuma problēmu, kas sevī ietver pievedceļus, elektrību, gāzi, </w:t>
      </w:r>
      <w:r w:rsidR="001C749A">
        <w:t>komunikāciju u.c. pakalpojumus.</w:t>
      </w:r>
    </w:p>
    <w:p w:rsidR="00067317" w:rsidRPr="00E67A0E" w:rsidRDefault="00E17675" w:rsidP="00E17675">
      <w:r w:rsidRPr="00E67A0E">
        <w:rPr>
          <w:b/>
        </w:rPr>
        <w:t>Jaunu tirgu apgūšanas izmaksas</w:t>
      </w:r>
      <w:r w:rsidRPr="00E67A0E">
        <w:t xml:space="preserve">. Respondenti ir identificējuši, ka tālākai uzņēmumu attīstībai ir nepieciešams plašāk izmantot iegūto eksporta potenciālu, paplašinot darbību arvien jaunos eksporta tirgos. Tomēr sadarbības partneru apzināšana, piedaloties  izstādēs, individuālos biznesa braucienos, valsts </w:t>
      </w:r>
      <w:r w:rsidRPr="00E67A0E">
        <w:lastRenderedPageBreak/>
        <w:t>amatpersonu vizītēs, ietver sevī salīdzinoši lielus finanšu līdzekļus, kuru atdeve ne vienmēr ir vērtējama lietderīgi, tāpēc pastāv identificētais šķērslis, kas pie esoša eksporta potenciāla, riska neuzņemšanās attiecībā uz tirgus apgūšanas izmaksu palielināšanu, neļauj vēl vairāk paplašināt ekonomikas eksporta apjomu</w:t>
      </w:r>
      <w:r w:rsidR="00A751E5" w:rsidRPr="00E67A0E">
        <w:t>.</w:t>
      </w:r>
    </w:p>
    <w:p w:rsidR="00CE44D7" w:rsidRPr="00E67A0E" w:rsidRDefault="0082557E" w:rsidP="00CE44D7">
      <w:pPr>
        <w:pStyle w:val="Heading4"/>
      </w:pPr>
      <w:bookmarkStart w:id="20" w:name="_Toc354732570"/>
      <w:r w:rsidRPr="00E67A0E">
        <w:t>3</w:t>
      </w:r>
      <w:r w:rsidR="00CE44D7" w:rsidRPr="00E67A0E">
        <w:t>.2.2.2.</w:t>
      </w:r>
      <w:r w:rsidR="00AC7F60" w:rsidRPr="00E67A0E">
        <w:t xml:space="preserve"> </w:t>
      </w:r>
      <w:r w:rsidR="00902BD3" w:rsidRPr="00E67A0E">
        <w:t>Regulējuma ierobežojums</w:t>
      </w:r>
      <w:bookmarkEnd w:id="20"/>
    </w:p>
    <w:p w:rsidR="00E977CD" w:rsidRPr="00E67A0E" w:rsidRDefault="00CE44D7" w:rsidP="004922F6">
      <w:r w:rsidRPr="00E67A0E">
        <w:rPr>
          <w:b/>
        </w:rPr>
        <w:t>Regulējuma slogs</w:t>
      </w:r>
      <w:r w:rsidR="00177665" w:rsidRPr="00E67A0E">
        <w:rPr>
          <w:b/>
        </w:rPr>
        <w:t xml:space="preserve"> eksporta tirgos</w:t>
      </w:r>
      <w:r w:rsidRPr="00E67A0E">
        <w:t xml:space="preserve">. </w:t>
      </w:r>
      <w:r w:rsidR="00E977CD" w:rsidRPr="00E67A0E">
        <w:t xml:space="preserve">Nākošais identificētais šķērslis ir saistīts ar regulējumu. </w:t>
      </w:r>
      <w:r w:rsidR="00A751E5" w:rsidRPr="00E67A0E">
        <w:t>R</w:t>
      </w:r>
      <w:r w:rsidR="00E977CD" w:rsidRPr="00E67A0E">
        <w:t xml:space="preserve">espondentu atbildes liecina, ka ir novērojams arvien lielāks kopējais regulējuma apjoms, gan Eiropas Savienības dalībvalstīs, gan trešo valstu eksporta tirgos. </w:t>
      </w:r>
      <w:r w:rsidR="008A3FD0" w:rsidRPr="00E67A0E">
        <w:t>Respondenti ir norādījuši, ka eksporta tirgos, jo īpaši trešo valstu, un attiecībā uz reglamentētajām produktu grupām, pircēji pieprasa katram eksporta tirgum specifiskas produkta reģistrācijas un kvalitātes nodrošināšanas prasības, kas palielina izmaksas, kas saistītas ar jauna produkta ieiešanu tirgū, kā arī esošo produktu ražošanas izmaksas, kurās arvien nozīmīgāku lomu sāk ieņemt kvalitātes pārbaužu un laboratorisko izmeklējumu izmaksas</w:t>
      </w:r>
    </w:p>
    <w:p w:rsidR="008125D4" w:rsidRPr="00E67A0E" w:rsidRDefault="008125D4" w:rsidP="008125D4">
      <w:r w:rsidRPr="00E67A0E">
        <w:rPr>
          <w:b/>
        </w:rPr>
        <w:t>Izmaksu, jo īpaši enerģijas sadārdzinājums</w:t>
      </w:r>
      <w:r w:rsidRPr="00E67A0E">
        <w:t>. Kā kritisks šķērslis vidējā termiņā pēc respondentu sniegtās informācijas ir identificējams risks cenas priekšrocības uzturēšanai pie nosacījuma, ka ir paredzams dažādu resursu izmaksu sadārdzinājums. Pie nosacījuma, ka izejvielu</w:t>
      </w:r>
      <w:r w:rsidR="00A751E5" w:rsidRPr="00E67A0E">
        <w:t xml:space="preserve"> bāze uzņēmumiem</w:t>
      </w:r>
      <w:r w:rsidR="009C5D89" w:rsidRPr="00E67A0E">
        <w:t xml:space="preserve">, kas darbojas reģionā un veido tiešo konkurenci </w:t>
      </w:r>
      <w:r w:rsidR="00A751E5" w:rsidRPr="00E67A0E">
        <w:t>ir viena un tā pati, līdz ar to</w:t>
      </w:r>
      <w:r w:rsidRPr="00E67A0E">
        <w:t xml:space="preserve"> izmaksu kāpums būs līdzvērtīgs visiem </w:t>
      </w:r>
      <w:r w:rsidR="009C5D89" w:rsidRPr="00E67A0E">
        <w:t>uzņēmumiem</w:t>
      </w:r>
      <w:r w:rsidRPr="00E67A0E">
        <w:t>, būtiski būs izvērtēt pārējo resursu, jo īpaši enerģijas resursu izmaksu kāpuma ietekmi uz cenas priekšrocības saglabāšanu. Pēc respondentu sniegtās informācijas</w:t>
      </w:r>
      <w:r w:rsidR="00E17675" w:rsidRPr="00E67A0E">
        <w:t>,</w:t>
      </w:r>
      <w:r w:rsidRPr="00E67A0E">
        <w:t xml:space="preserve"> valsts radītais OIK enerģijas izmaksu sadārdzinājums rada situāciju, ka energoresursu izmaksas gala produktā, sastāda lielāku īpatsvaru nekā reģiona konkurentiem.</w:t>
      </w:r>
    </w:p>
    <w:p w:rsidR="00CE44D7" w:rsidRPr="00E67A0E" w:rsidRDefault="0082557E" w:rsidP="00CE44D7">
      <w:pPr>
        <w:pStyle w:val="Heading4"/>
      </w:pPr>
      <w:bookmarkStart w:id="21" w:name="_Toc354732571"/>
      <w:r w:rsidRPr="00E67A0E">
        <w:t>3</w:t>
      </w:r>
      <w:r w:rsidR="00CE44D7" w:rsidRPr="00E67A0E">
        <w:t>.2.2.3.</w:t>
      </w:r>
      <w:r w:rsidR="00AC7F60" w:rsidRPr="00E67A0E">
        <w:t xml:space="preserve"> </w:t>
      </w:r>
      <w:r w:rsidR="00CE44D7" w:rsidRPr="00E67A0E">
        <w:t xml:space="preserve">Sadarbības </w:t>
      </w:r>
      <w:r w:rsidR="00902BD3" w:rsidRPr="00E67A0E">
        <w:t>ierobežojums</w:t>
      </w:r>
      <w:bookmarkEnd w:id="21"/>
    </w:p>
    <w:p w:rsidR="00E977CD" w:rsidRDefault="00CE44D7" w:rsidP="004922F6">
      <w:r w:rsidRPr="00E67A0E">
        <w:rPr>
          <w:b/>
        </w:rPr>
        <w:t xml:space="preserve">Sadarbība ar </w:t>
      </w:r>
      <w:r w:rsidR="001A02EE">
        <w:rPr>
          <w:b/>
        </w:rPr>
        <w:t>zinātnes sektoru</w:t>
      </w:r>
      <w:r w:rsidRPr="00E67A0E">
        <w:rPr>
          <w:b/>
        </w:rPr>
        <w:t xml:space="preserve"> produktu izstrādē.</w:t>
      </w:r>
      <w:r w:rsidRPr="00E67A0E">
        <w:t xml:space="preserve"> </w:t>
      </w:r>
      <w:r w:rsidR="00E977CD" w:rsidRPr="00E67A0E">
        <w:t xml:space="preserve">Lai uzturētu identificētās priekšrocības, kas ir saistītas ar darbību nišas produktu tirgū, </w:t>
      </w:r>
      <w:r w:rsidR="009C5D89" w:rsidRPr="00E67A0E">
        <w:t>bez</w:t>
      </w:r>
      <w:r w:rsidR="00E977CD" w:rsidRPr="00E67A0E">
        <w:t xml:space="preserve"> augstas kvalifikācijas darbaspēk</w:t>
      </w:r>
      <w:r w:rsidR="009C5D89" w:rsidRPr="00E67A0E">
        <w:t xml:space="preserve">a </w:t>
      </w:r>
      <w:r w:rsidR="00E17675" w:rsidRPr="00E67A0E">
        <w:t>pieejamības</w:t>
      </w:r>
      <w:r w:rsidR="009C5D89" w:rsidRPr="00E67A0E">
        <w:t xml:space="preserve"> ir nepieciešams arī veikt</w:t>
      </w:r>
      <w:r w:rsidR="00E977CD" w:rsidRPr="00E67A0E">
        <w:t xml:space="preserve"> ievērojamas investīcijas jaunu produktu un esošo produktu lētāku un kvalitatīv</w:t>
      </w:r>
      <w:r w:rsidR="009C5D89" w:rsidRPr="00E67A0E">
        <w:t>āku</w:t>
      </w:r>
      <w:r w:rsidR="00E977CD" w:rsidRPr="00E67A0E">
        <w:t xml:space="preserve"> analoga produktu izstrādē. Respondentu sniegtā informācija ļauj identificēt, ka uzņēmumi veic nozīmīgus</w:t>
      </w:r>
      <w:r w:rsidR="00FD6EFC" w:rsidRPr="00E67A0E">
        <w:t xml:space="preserve"> iekšējos</w:t>
      </w:r>
      <w:r w:rsidR="00E977CD" w:rsidRPr="00E67A0E">
        <w:t xml:space="preserve"> «</w:t>
      </w:r>
      <w:r w:rsidR="00E977CD" w:rsidRPr="00E67A0E">
        <w:rPr>
          <w:i/>
        </w:rPr>
        <w:t>in-house</w:t>
      </w:r>
      <w:r w:rsidR="00E977CD" w:rsidRPr="00E67A0E">
        <w:t>» ieguldījumus produktu izstrādē, vienlaikus ir izrietošs secinājums, ka pamatā respondentu sadarbība ar zinātniskajām organizācijām un institūcijām ir vāji attīstīta, un ir neregulāra, vai apstākļu radīta.</w:t>
      </w:r>
    </w:p>
    <w:p w:rsidR="00F92C76" w:rsidRPr="00E67A0E" w:rsidRDefault="00F92C76" w:rsidP="004922F6"/>
    <w:p w:rsidR="00FA208C" w:rsidRDefault="00FA208C" w:rsidP="00902BD3">
      <w:pPr>
        <w:pStyle w:val="Heading1"/>
      </w:pPr>
      <w:bookmarkStart w:id="22" w:name="_Toc354732572"/>
      <w:r>
        <w:t>Eksportspējīgāko produktu ražotāju un pakalpojumu sniedzēju SVID analīze</w:t>
      </w:r>
      <w:bookmarkEnd w:id="22"/>
    </w:p>
    <w:tbl>
      <w:tblPr>
        <w:tblStyle w:val="LightShading"/>
        <w:tblW w:w="0" w:type="auto"/>
        <w:tblLook w:val="04A0" w:firstRow="1" w:lastRow="0" w:firstColumn="1" w:lastColumn="0" w:noHBand="0" w:noVBand="1"/>
      </w:tblPr>
      <w:tblGrid>
        <w:gridCol w:w="4700"/>
        <w:gridCol w:w="4700"/>
      </w:tblGrid>
      <w:tr w:rsidR="009B504E" w:rsidRPr="006E441F" w:rsidTr="00A070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00" w:type="dxa"/>
            <w:tcBorders>
              <w:top w:val="nil"/>
              <w:bottom w:val="nil"/>
            </w:tcBorders>
            <w:shd w:val="clear" w:color="auto" w:fill="D9D9D9" w:themeFill="background1" w:themeFillShade="D9"/>
          </w:tcPr>
          <w:p w:rsidR="009B504E" w:rsidRPr="006E441F" w:rsidRDefault="009B504E" w:rsidP="00A07087">
            <w:pPr>
              <w:ind w:firstLine="0"/>
              <w:jc w:val="center"/>
              <w:rPr>
                <w:rFonts w:cs="Times New Roman"/>
                <w:szCs w:val="28"/>
              </w:rPr>
            </w:pPr>
            <w:r w:rsidRPr="006E441F">
              <w:rPr>
                <w:rFonts w:cs="Times New Roman"/>
                <w:szCs w:val="28"/>
              </w:rPr>
              <w:t>Stiprās puses</w:t>
            </w:r>
          </w:p>
        </w:tc>
        <w:tc>
          <w:tcPr>
            <w:tcW w:w="4700" w:type="dxa"/>
            <w:tcBorders>
              <w:top w:val="nil"/>
              <w:bottom w:val="nil"/>
            </w:tcBorders>
            <w:shd w:val="clear" w:color="auto" w:fill="D9D9D9" w:themeFill="background1" w:themeFillShade="D9"/>
          </w:tcPr>
          <w:p w:rsidR="009B504E" w:rsidRPr="006E441F" w:rsidRDefault="009B504E" w:rsidP="00A07087">
            <w:pPr>
              <w:ind w:firstLine="0"/>
              <w:jc w:val="center"/>
              <w:cnfStyle w:val="100000000000" w:firstRow="1" w:lastRow="0" w:firstColumn="0" w:lastColumn="0" w:oddVBand="0" w:evenVBand="0" w:oddHBand="0" w:evenHBand="0" w:firstRowFirstColumn="0" w:firstRowLastColumn="0" w:lastRowFirstColumn="0" w:lastRowLastColumn="0"/>
              <w:rPr>
                <w:rFonts w:cs="Times New Roman"/>
                <w:szCs w:val="28"/>
              </w:rPr>
            </w:pPr>
            <w:r w:rsidRPr="006E441F">
              <w:rPr>
                <w:rFonts w:cs="Times New Roman"/>
                <w:szCs w:val="28"/>
              </w:rPr>
              <w:t>Vājās puses</w:t>
            </w:r>
          </w:p>
        </w:tc>
      </w:tr>
      <w:tr w:rsidR="009B504E" w:rsidRPr="006E441F" w:rsidTr="00A070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00" w:type="dxa"/>
            <w:tcBorders>
              <w:top w:val="nil"/>
              <w:bottom w:val="nil"/>
            </w:tcBorders>
            <w:shd w:val="clear" w:color="auto" w:fill="auto"/>
          </w:tcPr>
          <w:p w:rsidR="000F3AA6" w:rsidRPr="00CE42D7" w:rsidRDefault="000F3AA6" w:rsidP="000F3AA6">
            <w:pPr>
              <w:ind w:firstLine="0"/>
              <w:rPr>
                <w:rFonts w:cs="Times New Roman"/>
                <w:sz w:val="24"/>
                <w:szCs w:val="24"/>
              </w:rPr>
            </w:pPr>
            <w:r w:rsidRPr="00CE42D7">
              <w:rPr>
                <w:rFonts w:cs="Times New Roman"/>
                <w:sz w:val="24"/>
                <w:szCs w:val="24"/>
              </w:rPr>
              <w:t>Ražošanas aspekti</w:t>
            </w:r>
          </w:p>
          <w:p w:rsidR="000F3AA6" w:rsidRPr="00CE42D7" w:rsidRDefault="000F3AA6" w:rsidP="0028461D">
            <w:pPr>
              <w:pStyle w:val="ListParagraph"/>
              <w:numPr>
                <w:ilvl w:val="0"/>
                <w:numId w:val="45"/>
              </w:numPr>
              <w:ind w:left="426"/>
              <w:rPr>
                <w:rFonts w:cs="Times New Roman"/>
                <w:b w:val="0"/>
                <w:sz w:val="24"/>
                <w:szCs w:val="24"/>
              </w:rPr>
            </w:pPr>
            <w:r w:rsidRPr="00CE42D7">
              <w:rPr>
                <w:rFonts w:cs="Times New Roman"/>
                <w:b w:val="0"/>
                <w:sz w:val="24"/>
                <w:szCs w:val="24"/>
              </w:rPr>
              <w:t>Elastīgs darba tirgus un zemas darba spēka izmaksas</w:t>
            </w:r>
          </w:p>
          <w:p w:rsidR="000F3AA6" w:rsidRPr="00CE42D7" w:rsidRDefault="000F3AA6" w:rsidP="0028461D">
            <w:pPr>
              <w:pStyle w:val="ListParagraph"/>
              <w:numPr>
                <w:ilvl w:val="0"/>
                <w:numId w:val="45"/>
              </w:numPr>
              <w:ind w:left="426"/>
              <w:rPr>
                <w:rFonts w:cs="Times New Roman"/>
                <w:b w:val="0"/>
                <w:sz w:val="24"/>
                <w:szCs w:val="24"/>
              </w:rPr>
            </w:pPr>
            <w:r w:rsidRPr="00CE42D7">
              <w:rPr>
                <w:rFonts w:cs="Times New Roman"/>
                <w:b w:val="0"/>
                <w:sz w:val="24"/>
                <w:szCs w:val="24"/>
              </w:rPr>
              <w:t>Elastīgi ražošanas apjomi</w:t>
            </w:r>
          </w:p>
          <w:p w:rsidR="000F3AA6" w:rsidRPr="00CE42D7" w:rsidRDefault="000F3AA6" w:rsidP="0028461D">
            <w:pPr>
              <w:pStyle w:val="ListParagraph"/>
              <w:numPr>
                <w:ilvl w:val="0"/>
                <w:numId w:val="45"/>
              </w:numPr>
              <w:ind w:left="426"/>
              <w:rPr>
                <w:rFonts w:cs="Times New Roman"/>
                <w:b w:val="0"/>
                <w:sz w:val="24"/>
                <w:szCs w:val="24"/>
              </w:rPr>
            </w:pPr>
            <w:r w:rsidRPr="00CE42D7">
              <w:rPr>
                <w:rFonts w:cs="Times New Roman"/>
                <w:b w:val="0"/>
                <w:sz w:val="24"/>
                <w:szCs w:val="24"/>
              </w:rPr>
              <w:t xml:space="preserve">Garantēts pasūtījuma piegādes laiks </w:t>
            </w:r>
            <w:r w:rsidRPr="00CE42D7">
              <w:rPr>
                <w:rFonts w:cs="Times New Roman"/>
                <w:b w:val="0"/>
                <w:sz w:val="24"/>
                <w:szCs w:val="24"/>
              </w:rPr>
              <w:lastRenderedPageBreak/>
              <w:t>(īpašas konkurences priekšrocības sadarbībā  ar austrumu kaimiņiem - Baltkrieviju un citām NVS valstīm)</w:t>
            </w:r>
          </w:p>
          <w:p w:rsidR="000F3AA6" w:rsidRPr="00CE42D7" w:rsidRDefault="000F3AA6" w:rsidP="0028461D">
            <w:pPr>
              <w:pStyle w:val="ListParagraph"/>
              <w:numPr>
                <w:ilvl w:val="0"/>
                <w:numId w:val="45"/>
              </w:numPr>
              <w:ind w:left="426"/>
              <w:rPr>
                <w:rFonts w:cs="Times New Roman"/>
                <w:b w:val="0"/>
                <w:sz w:val="24"/>
                <w:szCs w:val="24"/>
              </w:rPr>
            </w:pPr>
            <w:r w:rsidRPr="00CE42D7">
              <w:rPr>
                <w:rFonts w:cs="Times New Roman"/>
                <w:b w:val="0"/>
                <w:sz w:val="24"/>
                <w:szCs w:val="24"/>
              </w:rPr>
              <w:t>Iespējas izmantot zīmolu „ražots ES”</w:t>
            </w:r>
          </w:p>
          <w:p w:rsidR="00183B83" w:rsidRPr="00183B83" w:rsidRDefault="000F3AA6" w:rsidP="00D54B9B">
            <w:pPr>
              <w:pStyle w:val="ListParagraph"/>
              <w:numPr>
                <w:ilvl w:val="0"/>
                <w:numId w:val="45"/>
              </w:numPr>
              <w:ind w:left="426"/>
              <w:rPr>
                <w:rFonts w:cs="Times New Roman"/>
                <w:sz w:val="24"/>
                <w:szCs w:val="24"/>
              </w:rPr>
            </w:pPr>
            <w:r w:rsidRPr="00CE42D7">
              <w:rPr>
                <w:rFonts w:cs="Times New Roman"/>
                <w:b w:val="0"/>
                <w:sz w:val="24"/>
                <w:szCs w:val="24"/>
              </w:rPr>
              <w:t>Labi sakaru un IT infrastruktūra rūpnieciskos centros</w:t>
            </w:r>
            <w:r w:rsidR="00D51716">
              <w:rPr>
                <w:rFonts w:cs="Times New Roman"/>
                <w:b w:val="0"/>
                <w:sz w:val="24"/>
                <w:szCs w:val="24"/>
              </w:rPr>
              <w:t xml:space="preserve">, </w:t>
            </w:r>
          </w:p>
          <w:p w:rsidR="00183B83" w:rsidRPr="00183B83" w:rsidRDefault="00183B83" w:rsidP="00D54B9B">
            <w:pPr>
              <w:pStyle w:val="ListParagraph"/>
              <w:numPr>
                <w:ilvl w:val="0"/>
                <w:numId w:val="45"/>
              </w:numPr>
              <w:ind w:left="426"/>
              <w:rPr>
                <w:rFonts w:cs="Times New Roman"/>
                <w:sz w:val="24"/>
                <w:szCs w:val="24"/>
              </w:rPr>
            </w:pPr>
            <w:r>
              <w:rPr>
                <w:rFonts w:cs="Times New Roman"/>
                <w:b w:val="0"/>
                <w:sz w:val="24"/>
                <w:szCs w:val="24"/>
              </w:rPr>
              <w:t>A</w:t>
            </w:r>
            <w:r w:rsidR="00D51716">
              <w:rPr>
                <w:rFonts w:cs="Times New Roman"/>
                <w:b w:val="0"/>
                <w:sz w:val="24"/>
                <w:szCs w:val="24"/>
              </w:rPr>
              <w:t xml:space="preserve">ttīstīta </w:t>
            </w:r>
            <w:r w:rsidR="00D54B9B">
              <w:rPr>
                <w:rFonts w:cs="Times New Roman"/>
                <w:b w:val="0"/>
                <w:sz w:val="24"/>
                <w:szCs w:val="24"/>
              </w:rPr>
              <w:t>l</w:t>
            </w:r>
            <w:r w:rsidR="00D51716">
              <w:rPr>
                <w:rFonts w:cs="Times New Roman"/>
                <w:b w:val="0"/>
                <w:sz w:val="24"/>
                <w:szCs w:val="24"/>
              </w:rPr>
              <w:t>oģistika</w:t>
            </w:r>
            <w:r w:rsidR="00D54B9B">
              <w:rPr>
                <w:rFonts w:cs="Times New Roman"/>
                <w:b w:val="0"/>
                <w:sz w:val="24"/>
                <w:szCs w:val="24"/>
              </w:rPr>
              <w:t xml:space="preserve">, </w:t>
            </w:r>
          </w:p>
          <w:p w:rsidR="005D114A" w:rsidRPr="00F92C76" w:rsidRDefault="005D114A" w:rsidP="005D114A">
            <w:pPr>
              <w:pStyle w:val="ListParagraph"/>
              <w:numPr>
                <w:ilvl w:val="0"/>
                <w:numId w:val="45"/>
              </w:numPr>
              <w:ind w:left="426"/>
              <w:rPr>
                <w:rFonts w:cs="Times New Roman"/>
                <w:b w:val="0"/>
                <w:sz w:val="24"/>
                <w:szCs w:val="24"/>
              </w:rPr>
            </w:pPr>
            <w:r w:rsidRPr="00F92C76">
              <w:rPr>
                <w:rFonts w:cs="Times New Roman"/>
                <w:b w:val="0"/>
                <w:sz w:val="24"/>
                <w:szCs w:val="24"/>
              </w:rPr>
              <w:t xml:space="preserve">Attīstīta starptautisko pārvadājumu nozare, pateicoties ostām un atbilstošai infrastruktūrai </w:t>
            </w:r>
          </w:p>
          <w:p w:rsidR="00A07087" w:rsidRPr="00CE42D7" w:rsidRDefault="000F3AA6" w:rsidP="0028461D">
            <w:pPr>
              <w:pStyle w:val="ListParagraph"/>
              <w:numPr>
                <w:ilvl w:val="0"/>
                <w:numId w:val="45"/>
              </w:numPr>
              <w:ind w:left="426"/>
              <w:rPr>
                <w:rFonts w:cs="Times New Roman"/>
                <w:b w:val="0"/>
                <w:sz w:val="24"/>
                <w:szCs w:val="24"/>
              </w:rPr>
            </w:pPr>
            <w:r w:rsidRPr="00CE42D7">
              <w:rPr>
                <w:rFonts w:cs="Times New Roman"/>
                <w:b w:val="0"/>
                <w:sz w:val="24"/>
                <w:szCs w:val="24"/>
              </w:rPr>
              <w:t>Ātra, lēta un vienkāršota biznesa uzsākšana</w:t>
            </w:r>
          </w:p>
          <w:p w:rsidR="0028461D" w:rsidRPr="00CE42D7" w:rsidRDefault="0028461D" w:rsidP="0028461D">
            <w:pPr>
              <w:ind w:left="66" w:firstLine="0"/>
              <w:rPr>
                <w:rFonts w:cs="Times New Roman"/>
                <w:sz w:val="24"/>
                <w:szCs w:val="24"/>
              </w:rPr>
            </w:pPr>
          </w:p>
          <w:p w:rsidR="0028461D" w:rsidRPr="00CE42D7" w:rsidRDefault="0028461D" w:rsidP="0028461D">
            <w:pPr>
              <w:ind w:left="66" w:firstLine="0"/>
              <w:rPr>
                <w:rFonts w:cs="Times New Roman"/>
                <w:sz w:val="24"/>
                <w:szCs w:val="24"/>
              </w:rPr>
            </w:pPr>
          </w:p>
          <w:p w:rsidR="0028461D" w:rsidRPr="00CE42D7" w:rsidRDefault="0028461D" w:rsidP="0028461D">
            <w:pPr>
              <w:ind w:left="66" w:firstLine="0"/>
              <w:rPr>
                <w:rFonts w:cs="Times New Roman"/>
                <w:sz w:val="24"/>
                <w:szCs w:val="24"/>
              </w:rPr>
            </w:pPr>
          </w:p>
          <w:p w:rsidR="0028461D" w:rsidRPr="00CE42D7" w:rsidRDefault="0028461D" w:rsidP="0028461D">
            <w:pPr>
              <w:ind w:left="66" w:firstLine="0"/>
              <w:rPr>
                <w:rFonts w:cs="Times New Roman"/>
                <w:sz w:val="24"/>
                <w:szCs w:val="24"/>
              </w:rPr>
            </w:pPr>
          </w:p>
          <w:p w:rsidR="0028461D" w:rsidRPr="00CE42D7" w:rsidRDefault="0028461D" w:rsidP="0028461D">
            <w:pPr>
              <w:ind w:firstLine="0"/>
              <w:rPr>
                <w:rFonts w:cs="Times New Roman"/>
                <w:sz w:val="24"/>
                <w:szCs w:val="24"/>
              </w:rPr>
            </w:pPr>
            <w:r w:rsidRPr="00CE42D7">
              <w:rPr>
                <w:rFonts w:cs="Times New Roman"/>
                <w:sz w:val="24"/>
                <w:szCs w:val="24"/>
              </w:rPr>
              <w:t>Ienesīguma (produktivitātes) aspekti</w:t>
            </w:r>
          </w:p>
          <w:p w:rsidR="0028461D" w:rsidRPr="00CE42D7" w:rsidRDefault="0028461D" w:rsidP="0028461D">
            <w:pPr>
              <w:pStyle w:val="ListParagraph"/>
              <w:numPr>
                <w:ilvl w:val="0"/>
                <w:numId w:val="45"/>
              </w:numPr>
              <w:ind w:left="426"/>
              <w:rPr>
                <w:rFonts w:cs="Times New Roman"/>
                <w:b w:val="0"/>
                <w:sz w:val="24"/>
                <w:szCs w:val="24"/>
              </w:rPr>
            </w:pPr>
            <w:r w:rsidRPr="00CE42D7">
              <w:rPr>
                <w:rFonts w:cs="Times New Roman"/>
                <w:b w:val="0"/>
                <w:sz w:val="24"/>
                <w:szCs w:val="24"/>
              </w:rPr>
              <w:t>Spēja pielāgoties specifiskām tirgus vajadzībām (piedāvāt nišas produktus)</w:t>
            </w:r>
          </w:p>
        </w:tc>
        <w:tc>
          <w:tcPr>
            <w:tcW w:w="4700" w:type="dxa"/>
            <w:tcBorders>
              <w:top w:val="nil"/>
              <w:bottom w:val="nil"/>
            </w:tcBorders>
            <w:shd w:val="clear" w:color="auto" w:fill="auto"/>
          </w:tcPr>
          <w:p w:rsidR="0028461D" w:rsidRPr="00CE42D7" w:rsidRDefault="0028461D" w:rsidP="0028461D">
            <w:pPr>
              <w:ind w:firstLine="0"/>
              <w:cnfStyle w:val="000000100000" w:firstRow="0" w:lastRow="0" w:firstColumn="0" w:lastColumn="0" w:oddVBand="0" w:evenVBand="0" w:oddHBand="1" w:evenHBand="0" w:firstRowFirstColumn="0" w:firstRowLastColumn="0" w:lastRowFirstColumn="0" w:lastRowLastColumn="0"/>
              <w:rPr>
                <w:rFonts w:cs="Times New Roman"/>
                <w:b/>
                <w:bCs/>
                <w:sz w:val="24"/>
                <w:szCs w:val="24"/>
              </w:rPr>
            </w:pPr>
            <w:r w:rsidRPr="00CE42D7">
              <w:rPr>
                <w:rFonts w:cs="Times New Roman"/>
                <w:b/>
                <w:bCs/>
                <w:sz w:val="24"/>
                <w:szCs w:val="24"/>
              </w:rPr>
              <w:lastRenderedPageBreak/>
              <w:t>Ražošanas aspekti</w:t>
            </w:r>
          </w:p>
          <w:p w:rsidR="0028461D" w:rsidRPr="00CE42D7" w:rsidRDefault="0028461D" w:rsidP="0028461D">
            <w:pPr>
              <w:pStyle w:val="ListParagraph"/>
              <w:numPr>
                <w:ilvl w:val="0"/>
                <w:numId w:val="45"/>
              </w:numPr>
              <w:ind w:left="403"/>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E42D7">
              <w:rPr>
                <w:rFonts w:cs="Times New Roman"/>
                <w:sz w:val="24"/>
                <w:szCs w:val="24"/>
              </w:rPr>
              <w:t xml:space="preserve">Zema biznesa kultūra un izglītotība </w:t>
            </w:r>
          </w:p>
          <w:p w:rsidR="0028461D" w:rsidRPr="00CE42D7" w:rsidRDefault="0028461D" w:rsidP="0028461D">
            <w:pPr>
              <w:pStyle w:val="ListParagraph"/>
              <w:numPr>
                <w:ilvl w:val="1"/>
                <w:numId w:val="45"/>
              </w:numPr>
              <w:ind w:left="687"/>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E42D7">
              <w:rPr>
                <w:rFonts w:cs="Times New Roman"/>
                <w:sz w:val="24"/>
                <w:szCs w:val="24"/>
              </w:rPr>
              <w:t>liels ēnu ekonomikas īpatsvars</w:t>
            </w:r>
          </w:p>
          <w:p w:rsidR="0028461D" w:rsidRPr="00CE42D7" w:rsidRDefault="0028461D" w:rsidP="0028461D">
            <w:pPr>
              <w:pStyle w:val="ListParagraph"/>
              <w:numPr>
                <w:ilvl w:val="1"/>
                <w:numId w:val="45"/>
              </w:numPr>
              <w:ind w:left="687"/>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E42D7">
              <w:rPr>
                <w:rFonts w:cs="Times New Roman"/>
                <w:sz w:val="24"/>
                <w:szCs w:val="24"/>
              </w:rPr>
              <w:t>tiesu sistēmas vājums</w:t>
            </w:r>
          </w:p>
          <w:p w:rsidR="0028461D" w:rsidRPr="00CE42D7" w:rsidRDefault="0028461D" w:rsidP="0028461D">
            <w:pPr>
              <w:pStyle w:val="ListParagraph"/>
              <w:numPr>
                <w:ilvl w:val="1"/>
                <w:numId w:val="45"/>
              </w:numPr>
              <w:ind w:left="687"/>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E42D7">
              <w:rPr>
                <w:rFonts w:cs="Times New Roman"/>
                <w:sz w:val="24"/>
                <w:szCs w:val="24"/>
              </w:rPr>
              <w:t>korupcija</w:t>
            </w:r>
          </w:p>
          <w:p w:rsidR="0028461D" w:rsidRPr="00CE42D7" w:rsidRDefault="0028461D" w:rsidP="0028461D">
            <w:pPr>
              <w:pStyle w:val="ListParagraph"/>
              <w:numPr>
                <w:ilvl w:val="1"/>
                <w:numId w:val="45"/>
              </w:numPr>
              <w:ind w:left="687"/>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E42D7">
              <w:rPr>
                <w:rFonts w:cs="Times New Roman"/>
                <w:sz w:val="24"/>
                <w:szCs w:val="24"/>
              </w:rPr>
              <w:lastRenderedPageBreak/>
              <w:t>vājas menedžmenta un marketinga zināšanas,</w:t>
            </w:r>
            <w:r w:rsidR="002C06E3">
              <w:rPr>
                <w:rFonts w:cs="Times New Roman"/>
                <w:sz w:val="24"/>
                <w:szCs w:val="24"/>
              </w:rPr>
              <w:t xml:space="preserve"> uzņēmumu attīstības stratēģiju</w:t>
            </w:r>
            <w:r w:rsidRPr="00CE42D7">
              <w:rPr>
                <w:rFonts w:cs="Times New Roman"/>
                <w:sz w:val="24"/>
                <w:szCs w:val="24"/>
              </w:rPr>
              <w:t xml:space="preserve"> trūkums</w:t>
            </w:r>
          </w:p>
          <w:p w:rsidR="0028461D" w:rsidRPr="00CE42D7" w:rsidRDefault="0028461D" w:rsidP="0028461D">
            <w:pPr>
              <w:pStyle w:val="ListParagraph"/>
              <w:numPr>
                <w:ilvl w:val="0"/>
                <w:numId w:val="45"/>
              </w:numPr>
              <w:ind w:left="403"/>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E42D7">
              <w:rPr>
                <w:rFonts w:cs="Times New Roman"/>
                <w:sz w:val="24"/>
                <w:szCs w:val="24"/>
              </w:rPr>
              <w:t>Zema publiskās un uzņēmējdarbības infrastruktūras kvalitāte reģionos</w:t>
            </w:r>
          </w:p>
          <w:p w:rsidR="0028461D" w:rsidRPr="00CE42D7" w:rsidRDefault="0028461D" w:rsidP="0028461D">
            <w:pPr>
              <w:pStyle w:val="ListParagraph"/>
              <w:numPr>
                <w:ilvl w:val="0"/>
                <w:numId w:val="45"/>
              </w:numPr>
              <w:ind w:left="403"/>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E42D7">
              <w:rPr>
                <w:rFonts w:cs="Times New Roman"/>
                <w:sz w:val="24"/>
                <w:szCs w:val="24"/>
              </w:rPr>
              <w:t>Mazi ražošanas</w:t>
            </w:r>
            <w:r w:rsidR="002C06E3">
              <w:rPr>
                <w:rFonts w:cs="Times New Roman"/>
                <w:sz w:val="24"/>
                <w:szCs w:val="24"/>
              </w:rPr>
              <w:t xml:space="preserve"> mērogs</w:t>
            </w:r>
            <w:r w:rsidRPr="00CE42D7">
              <w:rPr>
                <w:rFonts w:cs="Times New Roman"/>
                <w:sz w:val="24"/>
                <w:szCs w:val="24"/>
              </w:rPr>
              <w:t xml:space="preserve"> </w:t>
            </w:r>
            <w:r w:rsidR="002C06E3">
              <w:rPr>
                <w:rFonts w:cs="Times New Roman"/>
                <w:sz w:val="24"/>
                <w:szCs w:val="24"/>
              </w:rPr>
              <w:t>(</w:t>
            </w:r>
            <w:r w:rsidRPr="00CE42D7">
              <w:rPr>
                <w:rFonts w:cs="Times New Roman"/>
                <w:sz w:val="24"/>
                <w:szCs w:val="24"/>
              </w:rPr>
              <w:t>apjomi</w:t>
            </w:r>
            <w:r w:rsidR="002C06E3">
              <w:rPr>
                <w:rFonts w:cs="Times New Roman"/>
                <w:sz w:val="24"/>
                <w:szCs w:val="24"/>
              </w:rPr>
              <w:t>)</w:t>
            </w:r>
          </w:p>
          <w:p w:rsidR="0028461D" w:rsidRPr="00CE42D7" w:rsidRDefault="0028461D" w:rsidP="0028461D">
            <w:pPr>
              <w:pStyle w:val="ListParagraph"/>
              <w:numPr>
                <w:ilvl w:val="0"/>
                <w:numId w:val="45"/>
              </w:numPr>
              <w:ind w:left="403"/>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E42D7">
              <w:rPr>
                <w:rFonts w:cs="Times New Roman"/>
                <w:sz w:val="24"/>
                <w:szCs w:val="24"/>
              </w:rPr>
              <w:t>Finanšu tirgus nepilnības:</w:t>
            </w:r>
          </w:p>
          <w:p w:rsidR="0028461D" w:rsidRPr="00CE42D7" w:rsidRDefault="0028461D" w:rsidP="0028461D">
            <w:pPr>
              <w:pStyle w:val="ListParagraph"/>
              <w:numPr>
                <w:ilvl w:val="1"/>
                <w:numId w:val="45"/>
              </w:numPr>
              <w:ind w:left="687"/>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E42D7">
              <w:rPr>
                <w:rFonts w:cs="Times New Roman"/>
                <w:sz w:val="24"/>
                <w:szCs w:val="24"/>
              </w:rPr>
              <w:t>ļoti piesardzīgs un rūpniecībai nelabvēlīgas kreditēšanas tendences;</w:t>
            </w:r>
          </w:p>
          <w:p w:rsidR="0028461D" w:rsidRPr="00CE42D7" w:rsidRDefault="0028461D" w:rsidP="0028461D">
            <w:pPr>
              <w:pStyle w:val="ListParagraph"/>
              <w:numPr>
                <w:ilvl w:val="1"/>
                <w:numId w:val="45"/>
              </w:numPr>
              <w:ind w:left="687"/>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E42D7">
              <w:rPr>
                <w:rFonts w:cs="Times New Roman"/>
                <w:sz w:val="24"/>
                <w:szCs w:val="24"/>
              </w:rPr>
              <w:t>neattīstīts kapitāla tirgus</w:t>
            </w:r>
          </w:p>
          <w:p w:rsidR="00A23D77" w:rsidRPr="00CE42D7" w:rsidRDefault="0028461D" w:rsidP="0028461D">
            <w:pPr>
              <w:pStyle w:val="ListParagraph"/>
              <w:numPr>
                <w:ilvl w:val="0"/>
                <w:numId w:val="45"/>
              </w:numPr>
              <w:ind w:left="403"/>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E42D7">
              <w:rPr>
                <w:rFonts w:cs="Times New Roman"/>
                <w:sz w:val="24"/>
                <w:szCs w:val="24"/>
              </w:rPr>
              <w:t>Augstas jaunu tirgu apgūšanas izmaksas (galvenokārt regulējuma apjoma pieauguma dēļ, kā Eiropas Savienības dalībvalstīs, tā trešo valstu eksporta tirgos)</w:t>
            </w:r>
          </w:p>
          <w:p w:rsidR="0028461D" w:rsidRPr="00CE42D7" w:rsidRDefault="0028461D" w:rsidP="0028461D">
            <w:pPr>
              <w:pStyle w:val="ListParagraph"/>
              <w:ind w:firstLine="0"/>
              <w:cnfStyle w:val="000000100000" w:firstRow="0" w:lastRow="0" w:firstColumn="0" w:lastColumn="0" w:oddVBand="0" w:evenVBand="0" w:oddHBand="1" w:evenHBand="0" w:firstRowFirstColumn="0" w:firstRowLastColumn="0" w:lastRowFirstColumn="0" w:lastRowLastColumn="0"/>
              <w:rPr>
                <w:rFonts w:cs="Times New Roman"/>
                <w:sz w:val="24"/>
                <w:szCs w:val="24"/>
              </w:rPr>
            </w:pPr>
          </w:p>
          <w:p w:rsidR="0028461D" w:rsidRPr="00CE42D7" w:rsidRDefault="0028461D" w:rsidP="0028461D">
            <w:pPr>
              <w:ind w:firstLine="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E42D7">
              <w:rPr>
                <w:rFonts w:cs="Times New Roman"/>
                <w:b/>
                <w:sz w:val="24"/>
                <w:szCs w:val="24"/>
              </w:rPr>
              <w:t>Ienesīguma (produktivitātes) aspekti</w:t>
            </w:r>
          </w:p>
          <w:p w:rsidR="0028461D" w:rsidRPr="00CE42D7" w:rsidRDefault="0028461D" w:rsidP="0028461D">
            <w:pPr>
              <w:pStyle w:val="ListParagraph"/>
              <w:numPr>
                <w:ilvl w:val="0"/>
                <w:numId w:val="46"/>
              </w:numPr>
              <w:ind w:left="403"/>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E42D7">
              <w:rPr>
                <w:rFonts w:cs="Times New Roman"/>
                <w:sz w:val="24"/>
                <w:szCs w:val="24"/>
              </w:rPr>
              <w:t xml:space="preserve">Ekonomiskās priekšrocības ir galvenokārt lētā darbaspēka un atbilstoši zemo ienākumu nozarēs (eksporta struktūrā pārsvarā ir zemo vai vidēji zemo tehnoloģiju nozaru produkcija, tāpēc eksporta ienesīgums  ir zems) </w:t>
            </w:r>
          </w:p>
          <w:p w:rsidR="0028461D" w:rsidRPr="00CE42D7" w:rsidRDefault="0028461D" w:rsidP="0028461D">
            <w:pPr>
              <w:pStyle w:val="ListParagraph"/>
              <w:numPr>
                <w:ilvl w:val="0"/>
                <w:numId w:val="46"/>
              </w:numPr>
              <w:ind w:left="403"/>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E42D7">
              <w:rPr>
                <w:rFonts w:cs="Times New Roman"/>
                <w:sz w:val="24"/>
                <w:szCs w:val="24"/>
              </w:rPr>
              <w:t>Vāji attīstīti klasteri</w:t>
            </w:r>
          </w:p>
          <w:p w:rsidR="0028461D" w:rsidRPr="00CE42D7" w:rsidRDefault="0028461D" w:rsidP="0028461D">
            <w:pPr>
              <w:pStyle w:val="ListParagraph"/>
              <w:numPr>
                <w:ilvl w:val="0"/>
                <w:numId w:val="46"/>
              </w:numPr>
              <w:ind w:left="403"/>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E42D7">
              <w:rPr>
                <w:rFonts w:cs="Times New Roman"/>
                <w:sz w:val="24"/>
                <w:szCs w:val="24"/>
              </w:rPr>
              <w:t>Neapmierinošs inovācijas sniegums:</w:t>
            </w:r>
          </w:p>
          <w:p w:rsidR="0028461D" w:rsidRPr="00CE42D7" w:rsidRDefault="0028461D" w:rsidP="0028461D">
            <w:pPr>
              <w:pStyle w:val="ListParagraph"/>
              <w:numPr>
                <w:ilvl w:val="1"/>
                <w:numId w:val="46"/>
              </w:numPr>
              <w:ind w:left="687"/>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E42D7">
              <w:rPr>
                <w:rFonts w:cs="Times New Roman"/>
                <w:sz w:val="24"/>
                <w:szCs w:val="24"/>
              </w:rPr>
              <w:t xml:space="preserve">maza </w:t>
            </w:r>
            <w:r w:rsidR="00223F5E">
              <w:rPr>
                <w:rFonts w:cs="Times New Roman"/>
                <w:sz w:val="24"/>
                <w:szCs w:val="24"/>
              </w:rPr>
              <w:t>komersantu</w:t>
            </w:r>
            <w:r w:rsidR="00223F5E" w:rsidRPr="00CE42D7">
              <w:rPr>
                <w:rFonts w:cs="Times New Roman"/>
                <w:sz w:val="24"/>
                <w:szCs w:val="24"/>
              </w:rPr>
              <w:t xml:space="preserve"> </w:t>
            </w:r>
            <w:r w:rsidRPr="00CE42D7">
              <w:rPr>
                <w:rFonts w:cs="Times New Roman"/>
                <w:sz w:val="24"/>
                <w:szCs w:val="24"/>
              </w:rPr>
              <w:t>motivācija veikt inovācijas un ieguldīt līdzekļus P&amp;A;</w:t>
            </w:r>
          </w:p>
          <w:p w:rsidR="0028461D" w:rsidRPr="00CE42D7" w:rsidRDefault="0028461D" w:rsidP="0028461D">
            <w:pPr>
              <w:pStyle w:val="ListParagraph"/>
              <w:numPr>
                <w:ilvl w:val="1"/>
                <w:numId w:val="46"/>
              </w:numPr>
              <w:ind w:left="687"/>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E42D7">
              <w:rPr>
                <w:rFonts w:cs="Times New Roman"/>
                <w:sz w:val="24"/>
                <w:szCs w:val="24"/>
              </w:rPr>
              <w:t xml:space="preserve">vāja </w:t>
            </w:r>
            <w:r w:rsidR="00223F5E">
              <w:rPr>
                <w:rFonts w:cs="Times New Roman"/>
                <w:sz w:val="24"/>
                <w:szCs w:val="24"/>
              </w:rPr>
              <w:t>komersantu</w:t>
            </w:r>
            <w:r w:rsidR="00223F5E" w:rsidRPr="00CE42D7">
              <w:rPr>
                <w:rFonts w:cs="Times New Roman"/>
                <w:sz w:val="24"/>
                <w:szCs w:val="24"/>
              </w:rPr>
              <w:t xml:space="preserve"> </w:t>
            </w:r>
            <w:r w:rsidRPr="00CE42D7">
              <w:rPr>
                <w:rFonts w:cs="Times New Roman"/>
                <w:sz w:val="24"/>
                <w:szCs w:val="24"/>
              </w:rPr>
              <w:t>un zinātnieku sadarbība;</w:t>
            </w:r>
          </w:p>
          <w:p w:rsidR="0028461D" w:rsidRPr="00CE42D7" w:rsidRDefault="0028461D" w:rsidP="0028461D">
            <w:pPr>
              <w:pStyle w:val="ListParagraph"/>
              <w:numPr>
                <w:ilvl w:val="1"/>
                <w:numId w:val="46"/>
              </w:numPr>
              <w:ind w:left="687"/>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E42D7">
              <w:rPr>
                <w:rFonts w:cs="Times New Roman"/>
                <w:sz w:val="24"/>
                <w:szCs w:val="24"/>
              </w:rPr>
              <w:t>slikta pētījumu komercializācija;</w:t>
            </w:r>
          </w:p>
          <w:p w:rsidR="0028461D" w:rsidRPr="00CE42D7" w:rsidRDefault="0028461D" w:rsidP="0028461D">
            <w:pPr>
              <w:pStyle w:val="ListParagraph"/>
              <w:numPr>
                <w:ilvl w:val="0"/>
                <w:numId w:val="46"/>
              </w:numPr>
              <w:ind w:left="403"/>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E42D7">
              <w:rPr>
                <w:rFonts w:cs="Times New Roman"/>
                <w:sz w:val="24"/>
                <w:szCs w:val="24"/>
              </w:rPr>
              <w:t>Nekvalitatīvs un ne vienmēr atbilstošs pieprasījumam izglītības piedāvājums (īpaši vidējās un augstākā profesionālās)</w:t>
            </w:r>
          </w:p>
          <w:p w:rsidR="0028461D" w:rsidRPr="00CE42D7" w:rsidRDefault="0028461D" w:rsidP="0028461D">
            <w:pPr>
              <w:pStyle w:val="ListParagraph"/>
              <w:numPr>
                <w:ilvl w:val="0"/>
                <w:numId w:val="46"/>
              </w:numPr>
              <w:ind w:left="403"/>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E42D7">
              <w:rPr>
                <w:rFonts w:cs="Times New Roman"/>
                <w:sz w:val="24"/>
                <w:szCs w:val="24"/>
              </w:rPr>
              <w:t>Mūžizglītības vājais piedāvājums (pieaugušo tālākapmācība)</w:t>
            </w:r>
          </w:p>
        </w:tc>
      </w:tr>
      <w:tr w:rsidR="009B504E" w:rsidRPr="006E441F" w:rsidTr="00A07087">
        <w:tc>
          <w:tcPr>
            <w:cnfStyle w:val="001000000000" w:firstRow="0" w:lastRow="0" w:firstColumn="1" w:lastColumn="0" w:oddVBand="0" w:evenVBand="0" w:oddHBand="0" w:evenHBand="0" w:firstRowFirstColumn="0" w:firstRowLastColumn="0" w:lastRowFirstColumn="0" w:lastRowLastColumn="0"/>
            <w:tcW w:w="4700" w:type="dxa"/>
            <w:tcBorders>
              <w:top w:val="nil"/>
              <w:bottom w:val="nil"/>
            </w:tcBorders>
            <w:shd w:val="clear" w:color="auto" w:fill="D9D9D9" w:themeFill="background1" w:themeFillShade="D9"/>
          </w:tcPr>
          <w:p w:rsidR="009B504E" w:rsidRPr="00282FF2" w:rsidRDefault="009B504E" w:rsidP="00A07087">
            <w:pPr>
              <w:ind w:firstLine="0"/>
              <w:jc w:val="center"/>
              <w:rPr>
                <w:rFonts w:cs="Times New Roman"/>
                <w:sz w:val="24"/>
                <w:szCs w:val="20"/>
              </w:rPr>
            </w:pPr>
            <w:r w:rsidRPr="00282FF2">
              <w:rPr>
                <w:rFonts w:cs="Times New Roman"/>
                <w:sz w:val="24"/>
                <w:szCs w:val="20"/>
              </w:rPr>
              <w:lastRenderedPageBreak/>
              <w:t>Iespējas</w:t>
            </w:r>
          </w:p>
        </w:tc>
        <w:tc>
          <w:tcPr>
            <w:tcW w:w="4700" w:type="dxa"/>
            <w:tcBorders>
              <w:top w:val="nil"/>
              <w:bottom w:val="nil"/>
            </w:tcBorders>
            <w:shd w:val="clear" w:color="auto" w:fill="D9D9D9" w:themeFill="background1" w:themeFillShade="D9"/>
          </w:tcPr>
          <w:p w:rsidR="009B504E" w:rsidRPr="00282FF2" w:rsidRDefault="009B504E" w:rsidP="00A07087">
            <w:pPr>
              <w:ind w:firstLine="0"/>
              <w:jc w:val="center"/>
              <w:cnfStyle w:val="000000000000" w:firstRow="0" w:lastRow="0" w:firstColumn="0" w:lastColumn="0" w:oddVBand="0" w:evenVBand="0" w:oddHBand="0" w:evenHBand="0" w:firstRowFirstColumn="0" w:firstRowLastColumn="0" w:lastRowFirstColumn="0" w:lastRowLastColumn="0"/>
              <w:rPr>
                <w:rFonts w:cs="Times New Roman"/>
                <w:b/>
                <w:sz w:val="24"/>
                <w:szCs w:val="20"/>
              </w:rPr>
            </w:pPr>
            <w:r w:rsidRPr="00282FF2">
              <w:rPr>
                <w:rFonts w:cs="Times New Roman"/>
                <w:b/>
                <w:sz w:val="24"/>
                <w:szCs w:val="20"/>
              </w:rPr>
              <w:t>Draudi</w:t>
            </w:r>
          </w:p>
        </w:tc>
      </w:tr>
      <w:tr w:rsidR="009B504E" w:rsidRPr="006E441F" w:rsidTr="00A070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00" w:type="dxa"/>
            <w:tcBorders>
              <w:top w:val="nil"/>
              <w:bottom w:val="nil"/>
            </w:tcBorders>
            <w:shd w:val="clear" w:color="auto" w:fill="FFFFFF" w:themeFill="background1"/>
          </w:tcPr>
          <w:p w:rsidR="0028461D" w:rsidRPr="00CE42D7" w:rsidRDefault="0028461D" w:rsidP="006E441F">
            <w:pPr>
              <w:pStyle w:val="ListParagraph"/>
              <w:numPr>
                <w:ilvl w:val="0"/>
                <w:numId w:val="45"/>
              </w:numPr>
              <w:ind w:left="426"/>
              <w:rPr>
                <w:rFonts w:cs="Times New Roman"/>
                <w:b w:val="0"/>
                <w:sz w:val="24"/>
                <w:szCs w:val="24"/>
              </w:rPr>
            </w:pPr>
            <w:r w:rsidRPr="00CE42D7">
              <w:rPr>
                <w:rFonts w:cs="Times New Roman"/>
                <w:b w:val="0"/>
                <w:sz w:val="24"/>
                <w:szCs w:val="24"/>
              </w:rPr>
              <w:t>Uzlabot reģionu kapacitāti ražīgo investīciju piesaistē</w:t>
            </w:r>
          </w:p>
          <w:p w:rsidR="0028461D" w:rsidRPr="00CE42D7" w:rsidRDefault="0028461D" w:rsidP="006E441F">
            <w:pPr>
              <w:pStyle w:val="ListParagraph"/>
              <w:numPr>
                <w:ilvl w:val="0"/>
                <w:numId w:val="45"/>
              </w:numPr>
              <w:ind w:left="426"/>
              <w:rPr>
                <w:rFonts w:cs="Times New Roman"/>
                <w:b w:val="0"/>
                <w:sz w:val="24"/>
                <w:szCs w:val="24"/>
              </w:rPr>
            </w:pPr>
            <w:r w:rsidRPr="00CE42D7">
              <w:rPr>
                <w:rFonts w:cs="Times New Roman"/>
                <w:b w:val="0"/>
                <w:sz w:val="24"/>
                <w:szCs w:val="24"/>
              </w:rPr>
              <w:t>Paaugstināt Latvijas ražotāju spēju  iekļauties starptautiskās vērtību un piegādes ķēdēs, t.sk., nišas produktu ražošanā:</w:t>
            </w:r>
          </w:p>
          <w:p w:rsidR="0028461D" w:rsidRPr="00CE42D7" w:rsidRDefault="0028461D" w:rsidP="006E441F">
            <w:pPr>
              <w:pStyle w:val="ListParagraph"/>
              <w:numPr>
                <w:ilvl w:val="1"/>
                <w:numId w:val="45"/>
              </w:numPr>
              <w:ind w:left="709"/>
              <w:rPr>
                <w:rFonts w:cs="Times New Roman"/>
                <w:b w:val="0"/>
                <w:sz w:val="24"/>
                <w:szCs w:val="24"/>
              </w:rPr>
            </w:pPr>
            <w:r w:rsidRPr="00CE42D7">
              <w:rPr>
                <w:rFonts w:cs="Times New Roman"/>
                <w:b w:val="0"/>
                <w:sz w:val="24"/>
                <w:szCs w:val="24"/>
              </w:rPr>
              <w:t xml:space="preserve">paaugstinot pārējās pasaules uzticību Latvijas biznesam, uzlabojot biznesa kultūru un ražošanas procesa vadības un optimizācijas prasmes; </w:t>
            </w:r>
          </w:p>
          <w:p w:rsidR="0028461D" w:rsidRPr="00CE42D7" w:rsidRDefault="0028461D" w:rsidP="006E441F">
            <w:pPr>
              <w:pStyle w:val="ListParagraph"/>
              <w:numPr>
                <w:ilvl w:val="1"/>
                <w:numId w:val="45"/>
              </w:numPr>
              <w:ind w:left="709"/>
              <w:rPr>
                <w:rFonts w:cs="Times New Roman"/>
                <w:b w:val="0"/>
                <w:sz w:val="24"/>
                <w:szCs w:val="24"/>
              </w:rPr>
            </w:pPr>
            <w:r w:rsidRPr="00CE42D7">
              <w:rPr>
                <w:rFonts w:cs="Times New Roman"/>
                <w:b w:val="0"/>
                <w:sz w:val="24"/>
                <w:szCs w:val="24"/>
              </w:rPr>
              <w:t>attīst</w:t>
            </w:r>
            <w:r w:rsidR="002C06E3">
              <w:rPr>
                <w:rFonts w:cs="Times New Roman"/>
                <w:b w:val="0"/>
                <w:sz w:val="24"/>
                <w:szCs w:val="24"/>
              </w:rPr>
              <w:t>o</w:t>
            </w:r>
            <w:r w:rsidRPr="00CE42D7">
              <w:rPr>
                <w:rFonts w:cs="Times New Roman"/>
                <w:b w:val="0"/>
                <w:sz w:val="24"/>
                <w:szCs w:val="24"/>
              </w:rPr>
              <w:t>t spēcīgus klasterus, lai stiprinātu starpnozaru saites un mazinātu produktu diversifikācijas izmaksas;</w:t>
            </w:r>
          </w:p>
          <w:p w:rsidR="0028461D" w:rsidRPr="00CE42D7" w:rsidRDefault="0028461D" w:rsidP="006E441F">
            <w:pPr>
              <w:pStyle w:val="ListParagraph"/>
              <w:numPr>
                <w:ilvl w:val="1"/>
                <w:numId w:val="45"/>
              </w:numPr>
              <w:ind w:left="709"/>
              <w:rPr>
                <w:rFonts w:cs="Times New Roman"/>
                <w:b w:val="0"/>
                <w:sz w:val="24"/>
                <w:szCs w:val="24"/>
              </w:rPr>
            </w:pPr>
            <w:r w:rsidRPr="00CE42D7">
              <w:rPr>
                <w:rFonts w:cs="Times New Roman"/>
                <w:b w:val="0"/>
                <w:sz w:val="24"/>
                <w:szCs w:val="24"/>
              </w:rPr>
              <w:t xml:space="preserve">nodrošinot stabilu makroekonomisko </w:t>
            </w:r>
            <w:r w:rsidRPr="00CE42D7">
              <w:rPr>
                <w:rFonts w:cs="Times New Roman"/>
                <w:b w:val="0"/>
                <w:sz w:val="24"/>
                <w:szCs w:val="24"/>
              </w:rPr>
              <w:lastRenderedPageBreak/>
              <w:t>vidi</w:t>
            </w:r>
          </w:p>
          <w:p w:rsidR="002C06E3" w:rsidRPr="002C06E3" w:rsidRDefault="002C06E3" w:rsidP="002C06E3">
            <w:pPr>
              <w:pStyle w:val="ListParagraph"/>
              <w:numPr>
                <w:ilvl w:val="0"/>
                <w:numId w:val="45"/>
              </w:numPr>
              <w:ind w:left="426"/>
              <w:rPr>
                <w:rFonts w:cs="Times New Roman"/>
                <w:b w:val="0"/>
                <w:sz w:val="24"/>
                <w:szCs w:val="24"/>
              </w:rPr>
            </w:pPr>
            <w:r w:rsidRPr="002C06E3">
              <w:rPr>
                <w:rFonts w:cs="Times New Roman"/>
                <w:b w:val="0"/>
                <w:sz w:val="24"/>
                <w:szCs w:val="24"/>
              </w:rPr>
              <w:t xml:space="preserve">Mazināt </w:t>
            </w:r>
            <w:r w:rsidR="00223F5E">
              <w:rPr>
                <w:rFonts w:cs="Times New Roman"/>
                <w:b w:val="0"/>
                <w:sz w:val="24"/>
                <w:szCs w:val="24"/>
              </w:rPr>
              <w:t>komersantu</w:t>
            </w:r>
            <w:r w:rsidR="00223F5E" w:rsidRPr="002C06E3">
              <w:rPr>
                <w:rFonts w:cs="Times New Roman"/>
                <w:b w:val="0"/>
                <w:sz w:val="24"/>
                <w:szCs w:val="24"/>
              </w:rPr>
              <w:t xml:space="preserve"> </w:t>
            </w:r>
            <w:r w:rsidRPr="002C06E3">
              <w:rPr>
                <w:rFonts w:cs="Times New Roman"/>
                <w:b w:val="0"/>
                <w:sz w:val="24"/>
                <w:szCs w:val="24"/>
              </w:rPr>
              <w:t>izdevumus, kas saistīti ar publiskās infrastruktūras nepilnību novēršanu, biznesa infrastruktūras ve</w:t>
            </w:r>
            <w:r w:rsidR="001B302C">
              <w:rPr>
                <w:rFonts w:cs="Times New Roman"/>
                <w:b w:val="0"/>
                <w:sz w:val="24"/>
                <w:szCs w:val="24"/>
              </w:rPr>
              <w:t>idošanu, energoresursu sadārdzi</w:t>
            </w:r>
            <w:r w:rsidRPr="002C06E3">
              <w:rPr>
                <w:rFonts w:cs="Times New Roman"/>
                <w:b w:val="0"/>
                <w:sz w:val="24"/>
                <w:szCs w:val="24"/>
              </w:rPr>
              <w:t>nāšanos, ieiešanu jaunos tirgos u.tml.</w:t>
            </w:r>
          </w:p>
          <w:p w:rsidR="00F92C76" w:rsidRDefault="0028461D" w:rsidP="006E441F">
            <w:pPr>
              <w:pStyle w:val="ListParagraph"/>
              <w:numPr>
                <w:ilvl w:val="0"/>
                <w:numId w:val="45"/>
              </w:numPr>
              <w:ind w:left="426"/>
              <w:rPr>
                <w:rFonts w:cs="Times New Roman"/>
                <w:b w:val="0"/>
                <w:sz w:val="24"/>
                <w:szCs w:val="24"/>
              </w:rPr>
            </w:pPr>
            <w:r w:rsidRPr="00CE42D7">
              <w:rPr>
                <w:rFonts w:cs="Times New Roman"/>
                <w:b w:val="0"/>
                <w:sz w:val="24"/>
                <w:szCs w:val="24"/>
              </w:rPr>
              <w:t>Uzlabot izglītības sistēmas piedāvājumu, optimizējot profesionālās izglītības proporcijas starp vidējo, augstāko un pēc studiju apmācībām</w:t>
            </w:r>
          </w:p>
          <w:p w:rsidR="0028461D" w:rsidRPr="00CE42D7" w:rsidRDefault="00F92C76" w:rsidP="006E441F">
            <w:pPr>
              <w:pStyle w:val="ListParagraph"/>
              <w:numPr>
                <w:ilvl w:val="0"/>
                <w:numId w:val="45"/>
              </w:numPr>
              <w:ind w:left="426"/>
              <w:rPr>
                <w:rFonts w:cs="Times New Roman"/>
                <w:b w:val="0"/>
                <w:sz w:val="24"/>
                <w:szCs w:val="24"/>
              </w:rPr>
            </w:pPr>
            <w:r>
              <w:rPr>
                <w:rFonts w:cs="Times New Roman"/>
                <w:b w:val="0"/>
                <w:sz w:val="24"/>
                <w:szCs w:val="24"/>
              </w:rPr>
              <w:t xml:space="preserve">Ieviest </w:t>
            </w:r>
            <w:r w:rsidR="0028461D" w:rsidRPr="00CE42D7">
              <w:rPr>
                <w:rFonts w:cs="Times New Roman"/>
                <w:b w:val="0"/>
                <w:sz w:val="24"/>
                <w:szCs w:val="24"/>
              </w:rPr>
              <w:t xml:space="preserve">darba devēju lielākas ieinteresētības </w:t>
            </w:r>
            <w:r>
              <w:rPr>
                <w:rFonts w:cs="Times New Roman"/>
                <w:b w:val="0"/>
                <w:sz w:val="24"/>
                <w:szCs w:val="24"/>
              </w:rPr>
              <w:t xml:space="preserve">līdzfinansēt darbinieku apmācības, radot </w:t>
            </w:r>
            <w:r w:rsidR="00C45B51">
              <w:rPr>
                <w:rFonts w:cs="Times New Roman"/>
                <w:b w:val="0"/>
                <w:sz w:val="24"/>
                <w:szCs w:val="24"/>
              </w:rPr>
              <w:t>stimulu</w:t>
            </w:r>
            <w:r w:rsidR="0028461D" w:rsidRPr="00CE42D7">
              <w:rPr>
                <w:rFonts w:cs="Times New Roman"/>
                <w:b w:val="0"/>
                <w:sz w:val="24"/>
                <w:szCs w:val="24"/>
              </w:rPr>
              <w:t xml:space="preserve"> mehānismus </w:t>
            </w:r>
          </w:p>
          <w:p w:rsidR="006E441F" w:rsidRPr="00CE42D7" w:rsidRDefault="006E441F" w:rsidP="006E441F">
            <w:pPr>
              <w:pStyle w:val="ListParagraph"/>
              <w:numPr>
                <w:ilvl w:val="0"/>
                <w:numId w:val="45"/>
              </w:numPr>
              <w:ind w:left="426"/>
              <w:rPr>
                <w:rFonts w:cs="Times New Roman"/>
                <w:b w:val="0"/>
                <w:sz w:val="24"/>
                <w:szCs w:val="24"/>
              </w:rPr>
            </w:pPr>
            <w:r w:rsidRPr="00CE42D7">
              <w:rPr>
                <w:rFonts w:cs="Times New Roman"/>
                <w:b w:val="0"/>
                <w:sz w:val="24"/>
                <w:szCs w:val="24"/>
              </w:rPr>
              <w:t>S</w:t>
            </w:r>
            <w:r w:rsidR="0028461D" w:rsidRPr="00CE42D7">
              <w:rPr>
                <w:rFonts w:cs="Times New Roman"/>
                <w:b w:val="0"/>
                <w:sz w:val="24"/>
                <w:szCs w:val="24"/>
              </w:rPr>
              <w:t>timulēt tehnoloģiju pārnesi un inovāciju, koncentrējoties uz izmaksu un risku mazināšanu, kā arī sadarbības veicināšanu.</w:t>
            </w:r>
          </w:p>
          <w:p w:rsidR="00FE4569" w:rsidRPr="00615040" w:rsidRDefault="005C3215" w:rsidP="006E441F">
            <w:pPr>
              <w:pStyle w:val="ListParagraph"/>
              <w:numPr>
                <w:ilvl w:val="0"/>
                <w:numId w:val="45"/>
              </w:numPr>
              <w:ind w:left="426"/>
              <w:rPr>
                <w:rFonts w:cs="Times New Roman"/>
                <w:sz w:val="24"/>
                <w:szCs w:val="24"/>
              </w:rPr>
            </w:pPr>
            <w:r w:rsidRPr="00CE42D7">
              <w:rPr>
                <w:rFonts w:cs="Times New Roman"/>
                <w:b w:val="0"/>
                <w:sz w:val="24"/>
                <w:szCs w:val="24"/>
              </w:rPr>
              <w:t xml:space="preserve">Palielināt produkta vērtību, izmantojot </w:t>
            </w:r>
            <w:r w:rsidR="000061B1" w:rsidRPr="00CE42D7">
              <w:rPr>
                <w:rFonts w:cs="Times New Roman"/>
                <w:b w:val="0"/>
                <w:sz w:val="24"/>
                <w:szCs w:val="24"/>
              </w:rPr>
              <w:t xml:space="preserve">Latvijas </w:t>
            </w:r>
            <w:r w:rsidRPr="00CE42D7">
              <w:rPr>
                <w:rFonts w:cs="Times New Roman"/>
                <w:b w:val="0"/>
                <w:sz w:val="24"/>
                <w:szCs w:val="24"/>
              </w:rPr>
              <w:t>radošās industrijas potenciālu</w:t>
            </w:r>
          </w:p>
          <w:p w:rsidR="00615040" w:rsidRPr="00F92C76" w:rsidRDefault="00615040" w:rsidP="006E441F">
            <w:pPr>
              <w:pStyle w:val="ListParagraph"/>
              <w:numPr>
                <w:ilvl w:val="0"/>
                <w:numId w:val="45"/>
              </w:numPr>
              <w:ind w:left="426"/>
              <w:rPr>
                <w:rFonts w:cs="Times New Roman"/>
                <w:b w:val="0"/>
                <w:sz w:val="24"/>
                <w:szCs w:val="24"/>
              </w:rPr>
            </w:pPr>
            <w:r w:rsidRPr="00F92C76">
              <w:rPr>
                <w:rFonts w:cs="Times New Roman"/>
                <w:b w:val="0"/>
                <w:sz w:val="24"/>
                <w:szCs w:val="24"/>
              </w:rPr>
              <w:t>Stiprināt radošo industriju un tradicionālo nozaru sinerģiju, t.sk. dažādu nozaru klasteru sadarbību</w:t>
            </w:r>
          </w:p>
          <w:p w:rsidR="00D54B9B" w:rsidRPr="00AD506B" w:rsidRDefault="00615040" w:rsidP="00AD506B">
            <w:pPr>
              <w:pStyle w:val="ListParagraph"/>
              <w:numPr>
                <w:ilvl w:val="0"/>
                <w:numId w:val="45"/>
              </w:numPr>
              <w:ind w:left="426"/>
              <w:rPr>
                <w:rFonts w:cs="Times New Roman"/>
                <w:sz w:val="24"/>
                <w:szCs w:val="24"/>
              </w:rPr>
            </w:pPr>
            <w:r w:rsidRPr="00F92C76">
              <w:rPr>
                <w:rFonts w:cs="Times New Roman"/>
                <w:b w:val="0"/>
                <w:sz w:val="24"/>
                <w:szCs w:val="24"/>
              </w:rPr>
              <w:t>Veicināt netehnoloģisko inovāciju potenciāla attīstību</w:t>
            </w:r>
            <w:r w:rsidR="002669D4">
              <w:rPr>
                <w:rFonts w:cs="Times New Roman"/>
                <w:b w:val="0"/>
                <w:sz w:val="24"/>
                <w:szCs w:val="24"/>
              </w:rPr>
              <w:t xml:space="preserve"> un inovācijas pakalpojumu sektorā</w:t>
            </w:r>
          </w:p>
        </w:tc>
        <w:tc>
          <w:tcPr>
            <w:tcW w:w="4700" w:type="dxa"/>
            <w:tcBorders>
              <w:top w:val="nil"/>
              <w:bottom w:val="nil"/>
            </w:tcBorders>
            <w:shd w:val="clear" w:color="auto" w:fill="FFFFFF" w:themeFill="background1"/>
          </w:tcPr>
          <w:p w:rsidR="006E441F" w:rsidRPr="00CE42D7" w:rsidRDefault="006E441F" w:rsidP="006E441F">
            <w:pPr>
              <w:pStyle w:val="ListParagraph"/>
              <w:numPr>
                <w:ilvl w:val="0"/>
                <w:numId w:val="45"/>
              </w:numPr>
              <w:ind w:left="403"/>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E42D7">
              <w:rPr>
                <w:rFonts w:cs="Times New Roman"/>
                <w:sz w:val="24"/>
                <w:szCs w:val="24"/>
              </w:rPr>
              <w:lastRenderedPageBreak/>
              <w:t xml:space="preserve">Konkurētspējas zaudēšana zemo izmaksu sektoros var notikt straujāk nekā konkurētspējas priekšrocību nostiprināšana augstākas pievienotās vērtības tehnoloģiski </w:t>
            </w:r>
            <w:r w:rsidR="00B03D95">
              <w:rPr>
                <w:rFonts w:cs="Times New Roman"/>
                <w:sz w:val="24"/>
                <w:szCs w:val="24"/>
              </w:rPr>
              <w:t>attīstītāku</w:t>
            </w:r>
            <w:r w:rsidRPr="00CE42D7">
              <w:rPr>
                <w:rFonts w:cs="Times New Roman"/>
                <w:sz w:val="24"/>
                <w:szCs w:val="24"/>
              </w:rPr>
              <w:t xml:space="preserve"> produktu ražošanā, ņemot vērā:</w:t>
            </w:r>
          </w:p>
          <w:p w:rsidR="006E441F" w:rsidRPr="00CE42D7" w:rsidRDefault="006E441F" w:rsidP="006E441F">
            <w:pPr>
              <w:pStyle w:val="ListParagraph"/>
              <w:numPr>
                <w:ilvl w:val="1"/>
                <w:numId w:val="45"/>
              </w:numPr>
              <w:ind w:left="687"/>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E42D7">
              <w:rPr>
                <w:rFonts w:cs="Times New Roman"/>
                <w:sz w:val="24"/>
                <w:szCs w:val="24"/>
              </w:rPr>
              <w:t>strauji augošās jaunās industriālās valstis ar izteikti lētā darbaspēka priekšrocībām;</w:t>
            </w:r>
          </w:p>
          <w:p w:rsidR="006E441F" w:rsidRPr="00CE42D7" w:rsidRDefault="006E441F" w:rsidP="006E441F">
            <w:pPr>
              <w:pStyle w:val="ListParagraph"/>
              <w:numPr>
                <w:ilvl w:val="1"/>
                <w:numId w:val="45"/>
              </w:numPr>
              <w:ind w:left="687"/>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E42D7">
              <w:rPr>
                <w:rFonts w:cs="Times New Roman"/>
                <w:sz w:val="24"/>
                <w:szCs w:val="24"/>
              </w:rPr>
              <w:t>iespējamo straujo darba spēka izmaksu pieaugumu, saistībā ar attīstīto ES dalībvalstu darba tirgus augsto konkurētspēju darbaspēka piesaistē;</w:t>
            </w:r>
          </w:p>
          <w:p w:rsidR="006E441F" w:rsidRPr="00CE42D7" w:rsidRDefault="006E441F" w:rsidP="006E441F">
            <w:pPr>
              <w:pStyle w:val="ListParagraph"/>
              <w:numPr>
                <w:ilvl w:val="1"/>
                <w:numId w:val="45"/>
              </w:numPr>
              <w:ind w:left="687"/>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E42D7">
              <w:rPr>
                <w:rFonts w:cs="Times New Roman"/>
                <w:sz w:val="24"/>
                <w:szCs w:val="24"/>
              </w:rPr>
              <w:t xml:space="preserve">aktīva industriālā politika daudzās pasaules valstīs, kurām ir lielākas </w:t>
            </w:r>
            <w:r w:rsidRPr="00CE42D7">
              <w:rPr>
                <w:rFonts w:cs="Times New Roman"/>
                <w:sz w:val="24"/>
                <w:szCs w:val="24"/>
              </w:rPr>
              <w:lastRenderedPageBreak/>
              <w:t>politikas finansējuma iespējas, kā arī neizslēdzot tajā slēptos vai atklātos protekcionisma elementus;</w:t>
            </w:r>
          </w:p>
          <w:p w:rsidR="006E441F" w:rsidRPr="00CE42D7" w:rsidRDefault="006E441F" w:rsidP="006E441F">
            <w:pPr>
              <w:pStyle w:val="ListParagraph"/>
              <w:numPr>
                <w:ilvl w:val="0"/>
                <w:numId w:val="45"/>
              </w:numPr>
              <w:ind w:left="403"/>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E42D7">
              <w:rPr>
                <w:rFonts w:cs="Times New Roman"/>
                <w:sz w:val="24"/>
                <w:szCs w:val="24"/>
              </w:rPr>
              <w:t>Iespējamās izmaiņas pasaules valūtas sistēmās</w:t>
            </w:r>
          </w:p>
          <w:p w:rsidR="006E441F" w:rsidRPr="00CE42D7" w:rsidRDefault="006E441F" w:rsidP="006E441F">
            <w:pPr>
              <w:pStyle w:val="ListParagraph"/>
              <w:numPr>
                <w:ilvl w:val="0"/>
                <w:numId w:val="45"/>
              </w:numPr>
              <w:ind w:left="403"/>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E42D7">
              <w:rPr>
                <w:rFonts w:cs="Times New Roman"/>
                <w:sz w:val="24"/>
                <w:szCs w:val="24"/>
              </w:rPr>
              <w:t>Nenotiek būtiski uzlabojumi globālos finanšu tirgos</w:t>
            </w:r>
          </w:p>
          <w:p w:rsidR="006E441F" w:rsidRPr="00CE42D7" w:rsidRDefault="006E441F" w:rsidP="006E441F">
            <w:pPr>
              <w:pStyle w:val="ListParagraph"/>
              <w:numPr>
                <w:ilvl w:val="0"/>
                <w:numId w:val="45"/>
              </w:numPr>
              <w:ind w:left="403"/>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E42D7">
              <w:rPr>
                <w:rFonts w:cs="Times New Roman"/>
                <w:sz w:val="24"/>
                <w:szCs w:val="24"/>
              </w:rPr>
              <w:t>Stagnācija galvenajās Latvijas ārējās tirdzniecības partnervalstīs</w:t>
            </w:r>
          </w:p>
          <w:p w:rsidR="006E441F" w:rsidRPr="00CE42D7" w:rsidRDefault="006E441F" w:rsidP="006E441F">
            <w:pPr>
              <w:pStyle w:val="ListParagraph"/>
              <w:numPr>
                <w:ilvl w:val="0"/>
                <w:numId w:val="45"/>
              </w:numPr>
              <w:ind w:left="403"/>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E42D7">
              <w:rPr>
                <w:rFonts w:cs="Times New Roman"/>
                <w:sz w:val="24"/>
                <w:szCs w:val="24"/>
              </w:rPr>
              <w:t>Politiskie riski</w:t>
            </w:r>
          </w:p>
          <w:p w:rsidR="000061B1" w:rsidRPr="00CE42D7" w:rsidRDefault="006E441F" w:rsidP="006E441F">
            <w:pPr>
              <w:pStyle w:val="ListParagraph"/>
              <w:numPr>
                <w:ilvl w:val="0"/>
                <w:numId w:val="45"/>
              </w:numPr>
              <w:ind w:left="403"/>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E42D7">
              <w:rPr>
                <w:rFonts w:cs="Times New Roman"/>
                <w:sz w:val="24"/>
                <w:szCs w:val="24"/>
              </w:rPr>
              <w:t>Demogrāfiskās situācijas neuzlabošanās</w:t>
            </w:r>
          </w:p>
        </w:tc>
      </w:tr>
    </w:tbl>
    <w:p w:rsidR="009B504E" w:rsidRPr="00FA208C" w:rsidRDefault="009B504E" w:rsidP="00FA208C"/>
    <w:p w:rsidR="00490405" w:rsidRPr="00E67A0E" w:rsidRDefault="00902BD3" w:rsidP="00902BD3">
      <w:pPr>
        <w:pStyle w:val="Heading1"/>
      </w:pPr>
      <w:bookmarkStart w:id="23" w:name="_Toc354732573"/>
      <w:r w:rsidRPr="00E67A0E">
        <w:t>Nacionālās industriālās politikas izaicinājumi</w:t>
      </w:r>
      <w:bookmarkEnd w:id="23"/>
    </w:p>
    <w:p w:rsidR="001A30D1" w:rsidRDefault="001A30D1" w:rsidP="001A30D1">
      <w:r>
        <w:t>Rezumējot iepriekš minētajās nodaļās ietverto analīzi, var secināt, ka svarīgākie Nacionālās industriālās politikas izaicinājumu uz kuriem būtu vēršama valsts aktīva rīcība ir:</w:t>
      </w:r>
    </w:p>
    <w:p w:rsidR="001A30D1" w:rsidRDefault="001A30D1" w:rsidP="001A30D1">
      <w:pPr>
        <w:pStyle w:val="ListParagraph"/>
        <w:numPr>
          <w:ilvl w:val="0"/>
          <w:numId w:val="43"/>
        </w:numPr>
      </w:pPr>
      <w:r w:rsidRPr="001A30D1">
        <w:rPr>
          <w:b/>
        </w:rPr>
        <w:t xml:space="preserve">Finansējuma ierobežojumi. </w:t>
      </w:r>
      <w:r>
        <w:t>Krīzei ir bijusi ilgstoša ietekme uz finanšu tirgus stāvokli, ietekmējot gan investoru, gan aizdevēju apjomu samazinājumā. Pašlaik situācija finanšu tirgū ir stabilizējusies, tomēr kreditēšanas apjomi joprojām ir ļoti zemā līmenī, kas lielā mērā ir saistīts ar finanšu tirgus pastiprinātu risku uztveri kā no aizdevēju tā no aizņēmēju puses. Ierobežotās iespējas piekļuvei finansējumam daudziem uzņēmumiem kļūst par nozīmīgu investēšanas un attīstības šķērsli.</w:t>
      </w:r>
    </w:p>
    <w:p w:rsidR="001A30D1" w:rsidRDefault="001A30D1" w:rsidP="001A30D1">
      <w:pPr>
        <w:ind w:left="1134" w:firstLine="284"/>
      </w:pPr>
      <w:r>
        <w:t xml:space="preserve">Lai atvieglotu piekļuvi finansēm un mazinātu </w:t>
      </w:r>
      <w:r w:rsidR="00223F5E">
        <w:t xml:space="preserve">komersantu </w:t>
      </w:r>
      <w:r>
        <w:t>tradicionāli lielu atkarību no banku finansējuma (kredītiem) ir nepieciešams paplašin</w:t>
      </w:r>
      <w:r w:rsidR="009F4364">
        <w:t>ā</w:t>
      </w:r>
      <w:r>
        <w:t xml:space="preserve">t un pilnveidot alternatīvus investīciju finansēšanas avotus. </w:t>
      </w:r>
    </w:p>
    <w:p w:rsidR="001A30D1" w:rsidRDefault="001A30D1" w:rsidP="001A30D1">
      <w:pPr>
        <w:pStyle w:val="ListParagraph"/>
        <w:numPr>
          <w:ilvl w:val="0"/>
          <w:numId w:val="43"/>
        </w:numPr>
      </w:pPr>
      <w:r w:rsidRPr="001A30D1">
        <w:rPr>
          <w:b/>
        </w:rPr>
        <w:t>Darba spēka izmaksas un cenu konkurētspēja</w:t>
      </w:r>
      <w:r>
        <w:t>. Darbaspēka izmaksas ir dominējošais konkurētspējas faktors, kas atspoguļojas rūpniecības un eksporta groza struktūrā.</w:t>
      </w:r>
    </w:p>
    <w:p w:rsidR="001A30D1" w:rsidRDefault="001A30D1" w:rsidP="001A30D1">
      <w:pPr>
        <w:ind w:left="1134" w:firstLine="284"/>
      </w:pPr>
      <w:r>
        <w:lastRenderedPageBreak/>
        <w:t>Darba tirgus liberalizācijas un darbaspēka starptautiskās mobilitātes apstākļos uzturēt lēta darbaspēka priekšrocības ilgstoši nebūs iespējams un darba spēka izmaksu pieaugums var kļūt par šķērsli ražotāju konkurētspējai iekšējā un ārējos tirgos.</w:t>
      </w:r>
    </w:p>
    <w:p w:rsidR="001A30D1" w:rsidRDefault="001A30D1" w:rsidP="001A30D1">
      <w:pPr>
        <w:ind w:left="1134" w:firstLine="284"/>
      </w:pPr>
      <w:r>
        <w:t xml:space="preserve">Lai mazinātu darbaspēka izmaksu pieauguma ietekmi uz Latvijas ražotāju konkurētspēju ir nepieciešams veidot konkurētspējīgu nodokļu sistēmu, kā arī sniegt valsts atbalstu jebkurā jomā, kas saistīta ar izmaksu samazināšanu ražošanas resursiem. Tādejādi daļēji vai pilnībā kompensējot </w:t>
      </w:r>
      <w:r w:rsidR="00223F5E">
        <w:t xml:space="preserve">komersantiem </w:t>
      </w:r>
      <w:r>
        <w:t>izmaksas, kas ir saistītas gan ar darbinieku profesionālo prasmju pilnveidošanu, infrastruktūras izveidošanu, energoresursu izmaksām u.tml.</w:t>
      </w:r>
    </w:p>
    <w:p w:rsidR="001A02EE" w:rsidRDefault="001A02EE" w:rsidP="001A02EE">
      <w:pPr>
        <w:pStyle w:val="ListParagraph"/>
        <w:numPr>
          <w:ilvl w:val="0"/>
          <w:numId w:val="43"/>
        </w:numPr>
      </w:pPr>
      <w:r w:rsidRPr="001A30D1">
        <w:rPr>
          <w:b/>
        </w:rPr>
        <w:t>Zema produktivitāte un vājš inovācijas sniegums</w:t>
      </w:r>
      <w:r>
        <w:t xml:space="preserve">. Latvijas rūpniecības produktivitātes līmenis būtiski atpaliek no ES vidējā līmeņa. Pašreizējā zemā inovācijas absorbcija mazina iespējas panākt ātru situācijas uzlabošanos. Arī tehnoloģiju attīstību ietekmē globalizācijas procesi, kas saistīti ar konkurētspējas priekšrocībām. </w:t>
      </w:r>
    </w:p>
    <w:p w:rsidR="001A30D1" w:rsidRDefault="001A02EE" w:rsidP="001A02EE">
      <w:pPr>
        <w:ind w:left="1134" w:firstLine="284"/>
      </w:pPr>
      <w:r>
        <w:t>Lai kāpinātu produktivitāti inovācijas process ir jāsaista ar salīdzinošo priekšrocību veidošanu, it īpaši Latvijai identificētajos perspektīvajos produktu tirgos. Tāpēc sākotnēj</w:t>
      </w:r>
      <w:r w:rsidR="00D90CFE">
        <w:t>ā</w:t>
      </w:r>
      <w:r>
        <w:t xml:space="preserve"> periodā īpaši svarīga ir valsts izdevumu daļas palielināšana inovācijai un </w:t>
      </w:r>
      <w:r w:rsidR="00223F5E">
        <w:t xml:space="preserve">komersantu </w:t>
      </w:r>
      <w:r>
        <w:t>motivācijas  veidošanai, lai ieinteresētu arvien vairāk ieguldīt tehnoloģijās</w:t>
      </w:r>
      <w:r w:rsidR="00D90CFE">
        <w:t>, dizaina procesā</w:t>
      </w:r>
      <w:r>
        <w:t xml:space="preserve"> un pētniecībā un attīstībā. Atbalsta instrumentiem jākoncentrējas uz izmaksu un riska mazināšanu, sadarbības veicināšanu un prasmju pilnveidošanu</w:t>
      </w:r>
      <w:r w:rsidR="001A30D1">
        <w:t>.</w:t>
      </w:r>
    </w:p>
    <w:p w:rsidR="001A30D1" w:rsidRDefault="001A30D1" w:rsidP="001A30D1">
      <w:pPr>
        <w:pStyle w:val="ListParagraph"/>
        <w:numPr>
          <w:ilvl w:val="0"/>
          <w:numId w:val="43"/>
        </w:numPr>
      </w:pPr>
      <w:r w:rsidRPr="001A30D1">
        <w:rPr>
          <w:b/>
        </w:rPr>
        <w:t>Starptautiskā biznesa transformācija</w:t>
      </w:r>
      <w:r>
        <w:t xml:space="preserve">. Starptautiskā biznesa transformācija raksturojas ar tā saukto vērtības ķēžu veidošanos, kas ietver ražošanas fragmentāciju, biznesa ģeogrāfisko pārnesi, nepieciešamību pēc jauniem ražošanas koordinācijas un reintegrācijas modeļiem, kas pamatojas jauno biznesa konkurētspējas priekšrocību esamībā un  pārvaldībā. Tādejādi šī jaunā biznesa modeļa apzināšana un veidošana ir svarīgs priekšnosacījums ceļā uz augstāku ražošanas produktivitāti. </w:t>
      </w:r>
    </w:p>
    <w:p w:rsidR="001A30D1" w:rsidRDefault="001A30D1" w:rsidP="001A30D1">
      <w:pPr>
        <w:ind w:left="1134" w:firstLine="284"/>
      </w:pPr>
      <w:r>
        <w:t xml:space="preserve">Lai nodrošinātu  Latvijas konkurētspējas priekšrocību attīstību nepieciešams veicināt iekšējo un ārējo partnerību, ieiešanu starptautiskajās ražošanas un piegādes ķēdēs dažādos veidos, atbalstot klasteru veidošanos, uzlabojot vadības prasmes, piesaistot ĀTI, vienlaikus aktīvi sevi piedāvājot globālajā tirgū, veidojot efektīvu un tīru biznesa vidi,  attīstītu infrastruktūru  un būt gataviem pārmaiņām.  </w:t>
      </w:r>
    </w:p>
    <w:p w:rsidR="001A30D1" w:rsidRDefault="001A30D1" w:rsidP="001A30D1">
      <w:pPr>
        <w:pStyle w:val="ListParagraph"/>
        <w:numPr>
          <w:ilvl w:val="0"/>
          <w:numId w:val="43"/>
        </w:numPr>
      </w:pPr>
      <w:r w:rsidRPr="001A30D1">
        <w:rPr>
          <w:b/>
        </w:rPr>
        <w:t>Demogrāfiskā situācija (darbaspēka novecošanās).</w:t>
      </w:r>
      <w:r>
        <w:t xml:space="preserve"> Pasliktinās Latvijas demogrāfiskā situācija, kas raksturojas ar iedzīvotāju skaita samazināšanos un iedzīvotāju novecošanos, ko pēdējā laikā jūtami ietekmē arī emigrācija. Šādas tendences būtiski ietekmē situāciju darba tirgū – samazinās iedzīvotāju skaits darbaspējīgā vecumā, kā arī strādājošo vecuma struktūrā palielinās gados vecāku darbinieku daļa. </w:t>
      </w:r>
      <w:r>
        <w:lastRenderedPageBreak/>
        <w:t xml:space="preserve">Rūpniecības modernizācija, kā pamatā ir jauno tehnoloģiju attīstība izvirza lielākas prasības darbaspēka kvalitātei un profesionālai mobilitātei. Kvalificētā darbaspēka pieejamība kļūst par nozīmīgu ražošanas attīstības faktoru. </w:t>
      </w:r>
    </w:p>
    <w:p w:rsidR="00872A38" w:rsidRDefault="001A30D1" w:rsidP="001A30D1">
      <w:pPr>
        <w:ind w:left="1134" w:firstLine="284"/>
      </w:pPr>
      <w:r>
        <w:t>Lai mazinātu demogrāfisko izmaiņu negatīvo ietekmi uz rūpniecības attīstību un ražošanas modernizāciju ir nepieciešams veicināt profesionālās izglītības un mūžizglītības sistēmas attīstību, nodrošinot darbaspēka piedāvājuma atbilstību pieprasījumam, lielāku uzsvaru liekot uz strādājošo prasmju pilnveidošanu un profesionālās mobilitātes paaugstināšanu. Pasākumiem jābūt regulāriem ar noteiktu valsts atbalstu, kā arī ar darba devēju un darba ņēmēju ieinteresētību.</w:t>
      </w:r>
    </w:p>
    <w:p w:rsidR="001A30D1" w:rsidRPr="00E67A0E" w:rsidRDefault="001A30D1" w:rsidP="001A30D1">
      <w:pPr>
        <w:ind w:left="1134" w:firstLine="284"/>
      </w:pPr>
    </w:p>
    <w:p w:rsidR="0050709A" w:rsidRPr="00E67A0E" w:rsidRDefault="00AC7A02" w:rsidP="0050709A">
      <w:pPr>
        <w:pStyle w:val="Heading1"/>
      </w:pPr>
      <w:bookmarkStart w:id="24" w:name="_Toc341951821"/>
      <w:bookmarkStart w:id="25" w:name="_Toc354732574"/>
      <w:r w:rsidRPr="00E67A0E">
        <w:t>Nacionālās i</w:t>
      </w:r>
      <w:r w:rsidR="00E01909" w:rsidRPr="00E67A0E">
        <w:t>ndustriālās politikas m</w:t>
      </w:r>
      <w:r w:rsidR="0050709A" w:rsidRPr="00E67A0E">
        <w:t>ērķis</w:t>
      </w:r>
      <w:bookmarkEnd w:id="24"/>
      <w:r w:rsidR="00E01909" w:rsidRPr="00E67A0E">
        <w:t xml:space="preserve"> un rezultatīvie rādītāji</w:t>
      </w:r>
      <w:bookmarkEnd w:id="25"/>
    </w:p>
    <w:p w:rsidR="0050709A" w:rsidRPr="00E67A0E" w:rsidRDefault="0050709A" w:rsidP="0050709A">
      <w:pPr>
        <w:rPr>
          <w:szCs w:val="24"/>
        </w:rPr>
      </w:pPr>
      <w:r w:rsidRPr="00E67A0E">
        <w:rPr>
          <w:b/>
          <w:szCs w:val="24"/>
        </w:rPr>
        <w:t xml:space="preserve">Latvijas </w:t>
      </w:r>
      <w:r w:rsidR="00AC7A02" w:rsidRPr="00E67A0E">
        <w:rPr>
          <w:b/>
          <w:szCs w:val="24"/>
        </w:rPr>
        <w:t xml:space="preserve">Nacionālās </w:t>
      </w:r>
      <w:r w:rsidRPr="00E67A0E">
        <w:rPr>
          <w:b/>
          <w:szCs w:val="24"/>
        </w:rPr>
        <w:t>industriālās politikas mērķis ir</w:t>
      </w:r>
      <w:r w:rsidRPr="00E67A0E">
        <w:rPr>
          <w:szCs w:val="24"/>
        </w:rPr>
        <w:t>: veicināt ekonomikas strukturālās izmaiņas par labu preču un pakalpojumu ar augstāku pievienoto vērtību ražošanai, t.sk. rūpniecības lomas palielināšanai, rūpniecības un pakalpojumu modernizācijai un eksporta sarežģītības attīstībai.</w:t>
      </w:r>
    </w:p>
    <w:p w:rsidR="0050709A" w:rsidRPr="00E67A0E" w:rsidRDefault="0050709A" w:rsidP="0050709A">
      <w:pPr>
        <w:ind w:right="-1" w:firstLine="567"/>
        <w:rPr>
          <w:szCs w:val="24"/>
        </w:rPr>
      </w:pPr>
      <w:r w:rsidRPr="00E67A0E">
        <w:rPr>
          <w:szCs w:val="24"/>
        </w:rPr>
        <w:t xml:space="preserve">Lai sasniegtu definēto mērķi modernas industriālās politikas ietvaros tiek noteikti sekojoši </w:t>
      </w:r>
      <w:r w:rsidRPr="00E67A0E">
        <w:rPr>
          <w:b/>
          <w:szCs w:val="24"/>
        </w:rPr>
        <w:t xml:space="preserve">sasniedzami </w:t>
      </w:r>
      <w:r w:rsidR="00E01909" w:rsidRPr="00E67A0E">
        <w:rPr>
          <w:b/>
          <w:szCs w:val="24"/>
        </w:rPr>
        <w:t xml:space="preserve">politikas </w:t>
      </w:r>
      <w:r w:rsidRPr="00E67A0E">
        <w:rPr>
          <w:b/>
          <w:szCs w:val="24"/>
        </w:rPr>
        <w:t>rezultatīvie rādītāji</w:t>
      </w:r>
      <w:r w:rsidRPr="00E67A0E">
        <w:rPr>
          <w:szCs w:val="24"/>
        </w:rPr>
        <w:t>:</w:t>
      </w:r>
    </w:p>
    <w:p w:rsidR="0050709A" w:rsidRPr="00E67A0E" w:rsidRDefault="0050709A" w:rsidP="0050709A">
      <w:pPr>
        <w:pStyle w:val="ListParagraph"/>
        <w:numPr>
          <w:ilvl w:val="0"/>
          <w:numId w:val="3"/>
        </w:numPr>
        <w:spacing w:after="200" w:line="276" w:lineRule="auto"/>
        <w:ind w:right="-1"/>
        <w:rPr>
          <w:szCs w:val="24"/>
        </w:rPr>
      </w:pPr>
      <w:r w:rsidRPr="00E67A0E">
        <w:rPr>
          <w:szCs w:val="24"/>
        </w:rPr>
        <w:t>apstrādes rūpniecības īpatsvars iekšzemes kopproduktā 2020.gadā sasniedz 20% (2011.gadā – 14,1%, 201</w:t>
      </w:r>
      <w:r w:rsidR="00786F9B">
        <w:rPr>
          <w:szCs w:val="24"/>
        </w:rPr>
        <w:t>6</w:t>
      </w:r>
      <w:r w:rsidRPr="00E67A0E">
        <w:rPr>
          <w:szCs w:val="24"/>
        </w:rPr>
        <w:t xml:space="preserve">.gadā – </w:t>
      </w:r>
      <w:r w:rsidR="00786F9B">
        <w:rPr>
          <w:szCs w:val="24"/>
        </w:rPr>
        <w:t>17,4</w:t>
      </w:r>
      <w:r w:rsidRPr="00E67A0E">
        <w:rPr>
          <w:szCs w:val="24"/>
        </w:rPr>
        <w:t>%);</w:t>
      </w:r>
    </w:p>
    <w:p w:rsidR="0050709A" w:rsidRPr="00E67A0E" w:rsidRDefault="0050709A" w:rsidP="0050709A">
      <w:pPr>
        <w:pStyle w:val="ListParagraph"/>
        <w:numPr>
          <w:ilvl w:val="0"/>
          <w:numId w:val="3"/>
        </w:numPr>
        <w:spacing w:after="200" w:line="276" w:lineRule="auto"/>
        <w:ind w:right="-1"/>
        <w:rPr>
          <w:szCs w:val="24"/>
        </w:rPr>
      </w:pPr>
      <w:r w:rsidRPr="00E67A0E">
        <w:rPr>
          <w:szCs w:val="24"/>
        </w:rPr>
        <w:t xml:space="preserve">apstrādes rūpniecības produktivitātes pieaugums 2020.gadā pret 2011.gadu </w:t>
      </w:r>
      <w:r w:rsidR="000B6EB5" w:rsidRPr="00E67A0E">
        <w:rPr>
          <w:szCs w:val="24"/>
        </w:rPr>
        <w:t>ir</w:t>
      </w:r>
      <w:r w:rsidRPr="00E67A0E">
        <w:rPr>
          <w:szCs w:val="24"/>
        </w:rPr>
        <w:t xml:space="preserve"> 40% (201</w:t>
      </w:r>
      <w:r w:rsidR="00786F9B">
        <w:rPr>
          <w:szCs w:val="24"/>
        </w:rPr>
        <w:t>6</w:t>
      </w:r>
      <w:r w:rsidRPr="00E67A0E">
        <w:rPr>
          <w:szCs w:val="24"/>
        </w:rPr>
        <w:t xml:space="preserve">.gadā – </w:t>
      </w:r>
      <w:r w:rsidR="00786F9B">
        <w:rPr>
          <w:szCs w:val="24"/>
        </w:rPr>
        <w:t>22</w:t>
      </w:r>
      <w:r w:rsidRPr="00E67A0E">
        <w:rPr>
          <w:szCs w:val="24"/>
        </w:rPr>
        <w:t>%);</w:t>
      </w:r>
    </w:p>
    <w:p w:rsidR="0050709A" w:rsidRPr="00E67A0E" w:rsidRDefault="0050709A" w:rsidP="0050709A">
      <w:pPr>
        <w:pStyle w:val="ListParagraph"/>
        <w:numPr>
          <w:ilvl w:val="0"/>
          <w:numId w:val="3"/>
        </w:numPr>
        <w:spacing w:after="200" w:line="276" w:lineRule="auto"/>
        <w:ind w:right="-1"/>
        <w:rPr>
          <w:szCs w:val="24"/>
        </w:rPr>
      </w:pPr>
      <w:r w:rsidRPr="00E67A0E">
        <w:rPr>
          <w:szCs w:val="24"/>
        </w:rPr>
        <w:t xml:space="preserve">apstrādes rūpniecības pieaugums 2020.gadā, </w:t>
      </w:r>
      <w:r w:rsidR="000B6EB5" w:rsidRPr="00E67A0E">
        <w:rPr>
          <w:szCs w:val="24"/>
        </w:rPr>
        <w:t>pret</w:t>
      </w:r>
      <w:r w:rsidRPr="00E67A0E">
        <w:rPr>
          <w:szCs w:val="24"/>
        </w:rPr>
        <w:t xml:space="preserve"> 2011.gadu </w:t>
      </w:r>
      <w:r w:rsidR="000B6EB5" w:rsidRPr="00E67A0E">
        <w:rPr>
          <w:szCs w:val="24"/>
        </w:rPr>
        <w:t>ir</w:t>
      </w:r>
      <w:r w:rsidRPr="00E67A0E">
        <w:rPr>
          <w:szCs w:val="24"/>
        </w:rPr>
        <w:t xml:space="preserve"> 60% (201</w:t>
      </w:r>
      <w:r w:rsidR="00786F9B">
        <w:rPr>
          <w:szCs w:val="24"/>
        </w:rPr>
        <w:t>6</w:t>
      </w:r>
      <w:r w:rsidRPr="00E67A0E">
        <w:rPr>
          <w:szCs w:val="24"/>
        </w:rPr>
        <w:t>.gadā – 29%);</w:t>
      </w:r>
    </w:p>
    <w:p w:rsidR="0050709A" w:rsidRPr="00E67A0E" w:rsidRDefault="000B6EB5" w:rsidP="0050709A">
      <w:pPr>
        <w:pStyle w:val="ListParagraph"/>
        <w:numPr>
          <w:ilvl w:val="0"/>
          <w:numId w:val="3"/>
        </w:numPr>
        <w:spacing w:after="200" w:line="276" w:lineRule="auto"/>
        <w:ind w:right="-1"/>
        <w:rPr>
          <w:szCs w:val="24"/>
        </w:rPr>
      </w:pPr>
      <w:r w:rsidRPr="00E67A0E">
        <w:rPr>
          <w:szCs w:val="24"/>
        </w:rPr>
        <w:t>i</w:t>
      </w:r>
      <w:r w:rsidR="0050709A" w:rsidRPr="00E67A0E">
        <w:rPr>
          <w:szCs w:val="24"/>
        </w:rPr>
        <w:t>eguldījumi pētniecībā un attīstībā 2020.gadā sasn</w:t>
      </w:r>
      <w:r w:rsidR="0011325E">
        <w:rPr>
          <w:szCs w:val="24"/>
        </w:rPr>
        <w:t>iedz 1,5% no IKP (2011.gadā – 0,7</w:t>
      </w:r>
      <w:r w:rsidR="0050709A" w:rsidRPr="00E67A0E">
        <w:rPr>
          <w:szCs w:val="24"/>
        </w:rPr>
        <w:t xml:space="preserve">%, </w:t>
      </w:r>
      <w:r w:rsidR="00786F9B">
        <w:rPr>
          <w:szCs w:val="24"/>
        </w:rPr>
        <w:t>2016</w:t>
      </w:r>
      <w:r w:rsidR="0050709A" w:rsidRPr="00E67A0E">
        <w:rPr>
          <w:szCs w:val="24"/>
        </w:rPr>
        <w:t>.gadā – 1,</w:t>
      </w:r>
      <w:r w:rsidR="00786F9B">
        <w:rPr>
          <w:szCs w:val="24"/>
        </w:rPr>
        <w:t>1</w:t>
      </w:r>
      <w:r w:rsidR="0050709A" w:rsidRPr="00E67A0E">
        <w:rPr>
          <w:szCs w:val="24"/>
        </w:rPr>
        <w:t>%).</w:t>
      </w:r>
    </w:p>
    <w:p w:rsidR="0050709A" w:rsidRPr="00E67A0E" w:rsidRDefault="0050709A" w:rsidP="0050709A">
      <w:pPr>
        <w:rPr>
          <w:szCs w:val="24"/>
        </w:rPr>
      </w:pPr>
      <w:r w:rsidRPr="00E67A0E">
        <w:t>Pamatnostādņu mērķu un politikas rezultātu sasniegšanai īstenojamie uzdevumi un to darbības rezultāti noteikti rīcības plānā pamatnostādņu īstenošanai (</w:t>
      </w:r>
      <w:r w:rsidR="000B6EB5" w:rsidRPr="00E67A0E">
        <w:t>4</w:t>
      </w:r>
      <w:r w:rsidRPr="00E67A0E">
        <w:t>.pielikums)</w:t>
      </w:r>
    </w:p>
    <w:p w:rsidR="006B28D3" w:rsidRPr="00E67A0E" w:rsidRDefault="006B28D3" w:rsidP="00B17721">
      <w:pPr>
        <w:pStyle w:val="ListParagraph"/>
        <w:ind w:firstLine="0"/>
        <w:rPr>
          <w:i/>
        </w:rPr>
      </w:pPr>
    </w:p>
    <w:p w:rsidR="004A517D" w:rsidRPr="00E67A0E" w:rsidRDefault="008812C8" w:rsidP="008812C8">
      <w:pPr>
        <w:pStyle w:val="Heading1"/>
      </w:pPr>
      <w:bookmarkStart w:id="26" w:name="_Toc341951828"/>
      <w:bookmarkStart w:id="27" w:name="_Toc354732575"/>
      <w:r w:rsidRPr="00E67A0E">
        <w:t>Rīcības virzieni un uzdevumi politikas mērķu un rezultātu sasniegšanai, problēmu risināšanai</w:t>
      </w:r>
      <w:bookmarkEnd w:id="26"/>
      <w:bookmarkEnd w:id="27"/>
    </w:p>
    <w:p w:rsidR="00E977CD" w:rsidRPr="00E67A0E" w:rsidRDefault="00E977CD" w:rsidP="004922F6">
      <w:r w:rsidRPr="00E67A0E">
        <w:t xml:space="preserve">Dokumenta </w:t>
      </w:r>
      <w:r w:rsidR="00FF4F3E" w:rsidRPr="00E67A0E">
        <w:t>ievadā</w:t>
      </w:r>
      <w:r w:rsidRPr="00E67A0E">
        <w:t xml:space="preserve"> ir jau minēts, ka Nacionālā</w:t>
      </w:r>
      <w:r w:rsidR="00FF4F3E" w:rsidRPr="00E67A0E">
        <w:t>s</w:t>
      </w:r>
      <w:r w:rsidRPr="00E67A0E">
        <w:t xml:space="preserve"> industriālā</w:t>
      </w:r>
      <w:r w:rsidR="00FF4F3E" w:rsidRPr="00E67A0E">
        <w:t>s</w:t>
      </w:r>
      <w:r w:rsidRPr="00E67A0E">
        <w:t xml:space="preserve"> politikas viens no pamatprincipiem (Rodriks, 2004) ir atteikšanās no prioritāšu definēš</w:t>
      </w:r>
      <w:r w:rsidR="00995205">
        <w:t>anas nozaru vai produktu līmenī</w:t>
      </w:r>
      <w:r w:rsidR="00FF4F3E" w:rsidRPr="00E67A0E">
        <w:t>.</w:t>
      </w:r>
    </w:p>
    <w:p w:rsidR="008772DD" w:rsidRDefault="008772DD" w:rsidP="004922F6">
      <w:r w:rsidRPr="00E67A0E">
        <w:t xml:space="preserve">Vienlaikus augstāk minētā </w:t>
      </w:r>
      <w:r w:rsidR="007E0544" w:rsidRPr="00E67A0E">
        <w:t>izaicinājumu</w:t>
      </w:r>
      <w:r w:rsidRPr="00E67A0E">
        <w:t xml:space="preserve"> identifikācija un strukturēšana parāda, ka Latvijas ekonomikā dominē sistēmisk</w:t>
      </w:r>
      <w:r w:rsidR="007E0544" w:rsidRPr="00E67A0E">
        <w:t>ie</w:t>
      </w:r>
      <w:r w:rsidRPr="00E67A0E">
        <w:t xml:space="preserve"> tirgus </w:t>
      </w:r>
      <w:r w:rsidR="007E0544" w:rsidRPr="00E67A0E">
        <w:t>izaicinājumi</w:t>
      </w:r>
      <w:r w:rsidRPr="00E67A0E">
        <w:t xml:space="preserve">, līdz ar to politikas risinājumi primāri ir jāvērš uz ekonomikas sistēmisko </w:t>
      </w:r>
      <w:r w:rsidR="00CD237E" w:rsidRPr="00E67A0E">
        <w:t>izaicinājumu</w:t>
      </w:r>
      <w:r w:rsidRPr="00E67A0E">
        <w:t xml:space="preserve"> novēršanu, minimizējot darbību uz specifisku tirgus </w:t>
      </w:r>
      <w:r w:rsidR="00CD237E" w:rsidRPr="00E67A0E">
        <w:t>izaicinājumu</w:t>
      </w:r>
      <w:r w:rsidRPr="00E67A0E">
        <w:t xml:space="preserve"> novēršanu.</w:t>
      </w:r>
    </w:p>
    <w:p w:rsidR="007E5DD7" w:rsidRPr="00E67A0E" w:rsidRDefault="007E5DD7" w:rsidP="007E5DD7">
      <w:r w:rsidRPr="00E67A0E">
        <w:lastRenderedPageBreak/>
        <w:t xml:space="preserve">Valstī pastāvošā juridiskā nenoteiktība ir jāmazina, nodrošinot uz uzņēmējdarbības veikšanu attiecināmo tiesību aktu grozījumu vai jaunu prasību spēkā stāšanās savlaicīgumu un paredzamību, kā arī vienotu pieeju tiesību aktu piemērošanā. Savukārt, izstrādājot jaunus tiesību aktus vai veicot to grozījumus, svarīgi ir uzlabot mazo un vidējo uzņēmumu testa principa </w:t>
      </w:r>
      <w:r w:rsidRPr="00995205">
        <w:rPr>
          <w:b/>
        </w:rPr>
        <w:t xml:space="preserve">integrēšanu </w:t>
      </w:r>
      <w:r w:rsidR="00995205" w:rsidRPr="00995205">
        <w:rPr>
          <w:b/>
        </w:rPr>
        <w:t>Ministru kabineta 2009.gada 15.decembra instrukcijā Nr.19 „Tiesību akta projekta sākotnējās ietekmes izvērtēšanas kārtība”</w:t>
      </w:r>
      <w:r w:rsidRPr="00E67A0E">
        <w:t xml:space="preserve">, vienlaikus nodrošinot vispusīgu administratīvā sloga samazināšanu un normatīvā regulējuma prasību samazināšanu </w:t>
      </w:r>
      <w:r w:rsidR="00223F5E">
        <w:t>komersantiem</w:t>
      </w:r>
      <w:r w:rsidRPr="00E67A0E">
        <w:t>.</w:t>
      </w:r>
    </w:p>
    <w:p w:rsidR="007E5DD7" w:rsidRPr="00E67A0E" w:rsidRDefault="007E5DD7" w:rsidP="007E5DD7">
      <w:r w:rsidRPr="00E67A0E">
        <w:t xml:space="preserve">Kā būtiskākais valdības instruments uzņēmējdarbības vides pilnveidošanai un administratīvo šķēršļu mazināšanai ir ikgadējais Uzņēmējdarbības vides uzlabošanas pasākumu plāns, kurā iekļauti pasākumi, kas saistīti ar normatīvo aktu uzlikto prasību atvieglošanu uzņēmējdarbības veikšanai </w:t>
      </w:r>
      <w:r w:rsidRPr="00D53B3E">
        <w:rPr>
          <w:i/>
        </w:rPr>
        <w:t>Doing Business</w:t>
      </w:r>
      <w:r w:rsidRPr="00E67A0E">
        <w:t xml:space="preserve"> jomās – uzņēmējdarbības uzsākšana, būvniecība, nekustamo īpašumu reģistrācija, investoru tiesību aizsardzība, nodokļu maksāšana, pārrobežu tirdzniecība, līgumu izpilde un uzņēmējdarbības izbeigšana. </w:t>
      </w:r>
    </w:p>
    <w:p w:rsidR="00AD5865" w:rsidRPr="00E67A0E" w:rsidRDefault="006A2A7B" w:rsidP="00AD5865">
      <w:pPr>
        <w:pStyle w:val="Heading2"/>
        <w:rPr>
          <w:rFonts w:eastAsia="MS Mincho"/>
          <w:lang w:eastAsia="ja-JP"/>
        </w:rPr>
      </w:pPr>
      <w:bookmarkStart w:id="28" w:name="_Toc341951835"/>
      <w:bookmarkStart w:id="29" w:name="_Toc354732576"/>
      <w:bookmarkStart w:id="30" w:name="_Toc341951829"/>
      <w:r>
        <w:rPr>
          <w:rFonts w:eastAsia="MS Mincho"/>
          <w:lang w:eastAsia="ja-JP"/>
        </w:rPr>
        <w:t>7</w:t>
      </w:r>
      <w:r w:rsidR="00AD5865">
        <w:rPr>
          <w:rFonts w:eastAsia="MS Mincho"/>
          <w:lang w:eastAsia="ja-JP"/>
        </w:rPr>
        <w:t>.1</w:t>
      </w:r>
      <w:r w:rsidR="00AD5865" w:rsidRPr="00E67A0E">
        <w:rPr>
          <w:rFonts w:eastAsia="MS Mincho"/>
          <w:lang w:eastAsia="ja-JP"/>
        </w:rPr>
        <w:t xml:space="preserve">. </w:t>
      </w:r>
      <w:bookmarkEnd w:id="28"/>
      <w:r w:rsidR="00207E02" w:rsidRPr="00207E02">
        <w:rPr>
          <w:rFonts w:eastAsia="MS Mincho"/>
          <w:lang w:eastAsia="ja-JP"/>
        </w:rPr>
        <w:t>Darbaspēka pieejamība un tautsaimniecības attīstības vajadzībām atbilstošs izglītības piedāvājums</w:t>
      </w:r>
      <w:bookmarkEnd w:id="29"/>
    </w:p>
    <w:p w:rsidR="00AD5865" w:rsidRPr="00E67A0E" w:rsidRDefault="00AD5865" w:rsidP="00AD5865">
      <w:pPr>
        <w:rPr>
          <w:lang w:eastAsia="ja-JP"/>
        </w:rPr>
      </w:pPr>
      <w:r w:rsidRPr="00E67A0E">
        <w:rPr>
          <w:lang w:eastAsia="ja-JP"/>
        </w:rPr>
        <w:t xml:space="preserve">Analizējot esošo darba tirgus piedāvājumu atsevišķās profesiju grupās, ir izteikta neatbilstība starp </w:t>
      </w:r>
      <w:r w:rsidR="00275C7E">
        <w:rPr>
          <w:lang w:eastAsia="ja-JP"/>
        </w:rPr>
        <w:t>darbinieku</w:t>
      </w:r>
      <w:r w:rsidRPr="00E67A0E">
        <w:rPr>
          <w:lang w:eastAsia="ja-JP"/>
        </w:rPr>
        <w:t xml:space="preserve"> izglītību un profesijai nepieciešamo izglītības jomu un līmeni. Nemainoties izglītības sistēmai, šī neatbilstība saglabāsies arī vidējā termiņā. Jomās, kuras ir sevišķi svarīgas Latvijas attīstībai – inženierzinātnēs un dabas zinātnēs, 2011.gadā studēja tikai 21% no kopējā studentu skaita. </w:t>
      </w:r>
      <w:r>
        <w:rPr>
          <w:lang w:eastAsia="ja-JP"/>
        </w:rPr>
        <w:t>Plašāka analīze ir ietverta Ekonomikas ministrijas sagatavotajā i</w:t>
      </w:r>
      <w:r w:rsidRPr="00AD5865">
        <w:rPr>
          <w:lang w:eastAsia="ja-JP"/>
        </w:rPr>
        <w:t>nformatīv</w:t>
      </w:r>
      <w:r>
        <w:rPr>
          <w:lang w:eastAsia="ja-JP"/>
        </w:rPr>
        <w:t>ajā</w:t>
      </w:r>
      <w:r w:rsidRPr="00AD5865">
        <w:rPr>
          <w:lang w:eastAsia="ja-JP"/>
        </w:rPr>
        <w:t xml:space="preserve"> ziņojum</w:t>
      </w:r>
      <w:r>
        <w:rPr>
          <w:lang w:eastAsia="ja-JP"/>
        </w:rPr>
        <w:t>ā „P</w:t>
      </w:r>
      <w:r w:rsidRPr="00AD5865">
        <w:rPr>
          <w:lang w:eastAsia="ja-JP"/>
        </w:rPr>
        <w:t>ar darba tirgus vidēja un ilgtermiņa prognozēm</w:t>
      </w:r>
      <w:r>
        <w:rPr>
          <w:lang w:eastAsia="ja-JP"/>
        </w:rPr>
        <w:t>”</w:t>
      </w:r>
      <w:r>
        <w:rPr>
          <w:rStyle w:val="FootnoteReference"/>
          <w:lang w:eastAsia="ja-JP"/>
        </w:rPr>
        <w:footnoteReference w:id="20"/>
      </w:r>
      <w:r>
        <w:rPr>
          <w:lang w:eastAsia="ja-JP"/>
        </w:rPr>
        <w:t>.</w:t>
      </w:r>
    </w:p>
    <w:p w:rsidR="00C47492" w:rsidRDefault="00AD5865" w:rsidP="00AD5865">
      <w:pPr>
        <w:rPr>
          <w:lang w:eastAsia="ja-JP"/>
        </w:rPr>
      </w:pPr>
      <w:r w:rsidRPr="00E67A0E">
        <w:rPr>
          <w:lang w:eastAsia="ja-JP"/>
        </w:rPr>
        <w:t>Lai nodrošinātu elastīgu reakciju uz pieprasījumu pēc atbilstoša darbaspēka, nepieciešama izglītības kvalitātes nodrošināšana, profesionālās un augstākās izglītības apmācību programmu elastīgums, studējošo skaita palielināšana inženiertehniskajās zinātnēs (informācijas un telekomunikāciju, elektronikas, mašīnbūves, ķīmijas un biotehnoloģiju, zinātņu un tehnoloģiju ietilpīgās nozarēs), attiecīgo augstāko un profesionālo izglītības mācību iestāžu aprīkošana ar mūsdienīgu materiāli tehnisko bāzi</w:t>
      </w:r>
      <w:r w:rsidR="00851916">
        <w:rPr>
          <w:lang w:eastAsia="ja-JP"/>
        </w:rPr>
        <w:t xml:space="preserve"> (būtiska ir profesionālo iestāžu modernizācijas projekta</w:t>
      </w:r>
      <w:r w:rsidR="007F492D">
        <w:rPr>
          <w:lang w:eastAsia="ja-JP"/>
        </w:rPr>
        <w:t xml:space="preserve"> 1.un 2. kārta</w:t>
      </w:r>
      <w:r w:rsidR="00851916">
        <w:rPr>
          <w:lang w:eastAsia="ja-JP"/>
        </w:rPr>
        <w:t xml:space="preserve"> realizācija)</w:t>
      </w:r>
      <w:r w:rsidRPr="00E67A0E">
        <w:rPr>
          <w:lang w:eastAsia="ja-JP"/>
        </w:rPr>
        <w:t>, kā arī svešvalodu apguve visu līmeņu mācību iestādēs. Tāpat ir jānodrošina kompetenču teritoriāla konsolidācija, nodrošinot spēcīgus izcilības centrus izglītībā, šādi paaugstinot valsts attīstības potenciālu, kā arī investīciju piesaistes potenciālu.</w:t>
      </w:r>
      <w:r w:rsidR="00C47492">
        <w:rPr>
          <w:lang w:eastAsia="ja-JP"/>
        </w:rPr>
        <w:t xml:space="preserve"> </w:t>
      </w:r>
    </w:p>
    <w:p w:rsidR="0003522F" w:rsidRPr="00E67A0E" w:rsidRDefault="0003522F" w:rsidP="00AD5865">
      <w:pPr>
        <w:rPr>
          <w:lang w:eastAsia="ja-JP"/>
        </w:rPr>
      </w:pPr>
      <w:r>
        <w:rPr>
          <w:lang w:eastAsia="ja-JP"/>
        </w:rPr>
        <w:t>Papildus profesionālās izglītības sistēmas koncentrācijai un institucionālajiem uzlabojumiem būtisks aspekts ir apmācības modeļa izmaiņas, palielinot praktisko zināšanu nozīmību apmācības saturā, kā arī mainot to iegūšanas veidu būtiski palielinot sasaisti ar uzņēmējdarbības sektoru.</w:t>
      </w:r>
    </w:p>
    <w:p w:rsidR="00AD5865" w:rsidRPr="00E67A0E" w:rsidRDefault="00AD5865" w:rsidP="00AD5865">
      <w:r w:rsidRPr="00E67A0E">
        <w:t xml:space="preserve">Lai nodrošinātu uzņēmumu produktivitātes līmeņa celšanu un eksporta izaugsmi, arī uzņēmumiem mērķtiecīgi jāiegulda līdzekļi darbinieku, tostarp </w:t>
      </w:r>
      <w:r w:rsidRPr="00E67A0E">
        <w:lastRenderedPageBreak/>
        <w:t xml:space="preserve">augsti kvalificētu darbinieku tālāk apmācībās un uzņēmumu vadītāju profesionalitātes līmeņa celšanā, kuri uzņēmumos ievieš modernas un efektīvas uzņēmumu pārvaldības sistēmas un uz produktivitātes paaugstināšanu orientētas tehnoloģijas un iekārtas. </w:t>
      </w:r>
    </w:p>
    <w:p w:rsidR="00AD5865" w:rsidRDefault="00AD5865" w:rsidP="00AD5865">
      <w:pPr>
        <w:rPr>
          <w:rFonts w:eastAsia="MS Mincho"/>
          <w:bCs/>
          <w:szCs w:val="28"/>
          <w:lang w:eastAsia="ja-JP"/>
        </w:rPr>
      </w:pPr>
      <w:r w:rsidRPr="00AD5865">
        <w:rPr>
          <w:rFonts w:eastAsia="MS Mincho"/>
          <w:b/>
          <w:bCs/>
          <w:szCs w:val="28"/>
          <w:lang w:eastAsia="ja-JP"/>
        </w:rPr>
        <w:t>Ņemot vērā identificētās problēmas un tirgus nepilnības, ir nepieciešams</w:t>
      </w:r>
      <w:r w:rsidR="00E81911">
        <w:rPr>
          <w:rFonts w:eastAsia="MS Mincho"/>
          <w:b/>
          <w:bCs/>
          <w:szCs w:val="28"/>
          <w:lang w:eastAsia="ja-JP"/>
        </w:rPr>
        <w:t xml:space="preserve"> </w:t>
      </w:r>
      <w:r w:rsidR="00E81911" w:rsidRPr="00E81911">
        <w:rPr>
          <w:rFonts w:eastAsia="MS Mincho"/>
          <w:b/>
          <w:bCs/>
          <w:szCs w:val="28"/>
          <w:u w:val="single"/>
          <w:lang w:eastAsia="ja-JP"/>
        </w:rPr>
        <w:t>prioritāri</w:t>
      </w:r>
      <w:r w:rsidR="00E81911">
        <w:rPr>
          <w:rFonts w:eastAsia="MS Mincho"/>
          <w:b/>
          <w:bCs/>
          <w:szCs w:val="28"/>
          <w:lang w:eastAsia="ja-JP"/>
        </w:rPr>
        <w:t xml:space="preserve"> īstenot sekojošas aktivitātes</w:t>
      </w:r>
      <w:r>
        <w:rPr>
          <w:rFonts w:eastAsia="MS Mincho"/>
          <w:bCs/>
          <w:szCs w:val="28"/>
          <w:lang w:eastAsia="ja-JP"/>
        </w:rPr>
        <w:t>:</w:t>
      </w:r>
    </w:p>
    <w:p w:rsidR="00E81911" w:rsidRPr="00E67A0E" w:rsidRDefault="00E81911" w:rsidP="00E81911">
      <w:pPr>
        <w:pStyle w:val="ListParagraph"/>
        <w:numPr>
          <w:ilvl w:val="0"/>
          <w:numId w:val="38"/>
        </w:numPr>
        <w:rPr>
          <w:lang w:eastAsia="ja-JP"/>
        </w:rPr>
      </w:pPr>
      <w:r w:rsidRPr="00E67A0E">
        <w:rPr>
          <w:lang w:eastAsia="ja-JP"/>
        </w:rPr>
        <w:t>Izglītības un zinātnes ministrija</w:t>
      </w:r>
      <w:r>
        <w:rPr>
          <w:lang w:eastAsia="ja-JP"/>
        </w:rPr>
        <w:t>i</w:t>
      </w:r>
      <w:r w:rsidRPr="00E67A0E">
        <w:rPr>
          <w:lang w:eastAsia="ja-JP"/>
        </w:rPr>
        <w:t xml:space="preserve"> ir nepieciešams īsteno</w:t>
      </w:r>
      <w:r>
        <w:rPr>
          <w:lang w:eastAsia="ja-JP"/>
        </w:rPr>
        <w:t>t</w:t>
      </w:r>
      <w:r w:rsidRPr="00E67A0E">
        <w:rPr>
          <w:lang w:eastAsia="ja-JP"/>
        </w:rPr>
        <w:t xml:space="preserve"> profesionālās izglītības sistēmas un augstākās izglītības sistēmas tālāku reformu, koncentrējot un piemērojot darba tirgus prasībām atbilstošas izglītības programmas, kā arī palielinot praktiskās programmas daļas īpatsvaru, nodrošinot </w:t>
      </w:r>
      <w:r w:rsidR="00723398" w:rsidRPr="00E67A0E">
        <w:rPr>
          <w:lang w:eastAsia="ja-JP"/>
        </w:rPr>
        <w:t>au</w:t>
      </w:r>
      <w:r w:rsidR="00723398">
        <w:rPr>
          <w:lang w:eastAsia="ja-JP"/>
        </w:rPr>
        <w:t>dzēkņus</w:t>
      </w:r>
      <w:r w:rsidR="00723398" w:rsidRPr="00E67A0E">
        <w:rPr>
          <w:lang w:eastAsia="ja-JP"/>
        </w:rPr>
        <w:t xml:space="preserve"> </w:t>
      </w:r>
      <w:r w:rsidRPr="00E67A0E">
        <w:rPr>
          <w:lang w:eastAsia="ja-JP"/>
        </w:rPr>
        <w:t>ar kvalitatīvām mācību praksēm</w:t>
      </w:r>
      <w:r w:rsidR="00C47492">
        <w:rPr>
          <w:lang w:eastAsia="ja-JP"/>
        </w:rPr>
        <w:t>;</w:t>
      </w:r>
      <w:r w:rsidRPr="00E67A0E">
        <w:rPr>
          <w:lang w:eastAsia="ja-JP"/>
        </w:rPr>
        <w:t xml:space="preserve"> </w:t>
      </w:r>
    </w:p>
    <w:p w:rsidR="00AD5865" w:rsidRPr="00AD5865" w:rsidRDefault="003F0533" w:rsidP="00AD5865">
      <w:pPr>
        <w:pStyle w:val="ListParagraph"/>
        <w:numPr>
          <w:ilvl w:val="0"/>
          <w:numId w:val="38"/>
        </w:numPr>
        <w:rPr>
          <w:rFonts w:eastAsia="MS Mincho"/>
          <w:bCs/>
          <w:szCs w:val="28"/>
          <w:lang w:eastAsia="ja-JP"/>
        </w:rPr>
      </w:pPr>
      <w:r>
        <w:rPr>
          <w:rFonts w:eastAsia="MS Mincho"/>
          <w:bCs/>
          <w:szCs w:val="28"/>
          <w:lang w:eastAsia="ja-JP"/>
        </w:rPr>
        <w:t>Ekonomikas ministrijai n</w:t>
      </w:r>
      <w:r w:rsidR="00E81911">
        <w:rPr>
          <w:rFonts w:eastAsia="MS Mincho"/>
          <w:bCs/>
          <w:szCs w:val="28"/>
          <w:lang w:eastAsia="ja-JP"/>
        </w:rPr>
        <w:t>epieciešams t</w:t>
      </w:r>
      <w:r w:rsidR="00AD5865" w:rsidRPr="00AD5865">
        <w:rPr>
          <w:rFonts w:eastAsia="MS Mincho"/>
          <w:bCs/>
          <w:szCs w:val="28"/>
          <w:lang w:eastAsia="ja-JP"/>
        </w:rPr>
        <w:t>urpināt val</w:t>
      </w:r>
      <w:r w:rsidR="00D152D9">
        <w:rPr>
          <w:rFonts w:eastAsia="MS Mincho"/>
          <w:bCs/>
          <w:szCs w:val="28"/>
          <w:lang w:eastAsia="ja-JP"/>
        </w:rPr>
        <w:t>sts atbalsta instrumentu</w:t>
      </w:r>
      <w:r w:rsidR="00E81911">
        <w:rPr>
          <w:rFonts w:eastAsia="MS Mincho"/>
          <w:bCs/>
          <w:szCs w:val="28"/>
          <w:lang w:eastAsia="ja-JP"/>
        </w:rPr>
        <w:t xml:space="preserve">, kas </w:t>
      </w:r>
      <w:r w:rsidR="00AD5865" w:rsidRPr="00AD5865">
        <w:rPr>
          <w:rFonts w:eastAsia="MS Mincho"/>
          <w:bCs/>
          <w:szCs w:val="28"/>
          <w:lang w:eastAsia="ja-JP"/>
        </w:rPr>
        <w:t>ir vērst</w:t>
      </w:r>
      <w:r w:rsidR="00D152D9">
        <w:rPr>
          <w:rFonts w:eastAsia="MS Mincho"/>
          <w:bCs/>
          <w:szCs w:val="28"/>
          <w:lang w:eastAsia="ja-JP"/>
        </w:rPr>
        <w:t>s</w:t>
      </w:r>
      <w:r w:rsidR="00AD5865" w:rsidRPr="00AD5865">
        <w:rPr>
          <w:rFonts w:eastAsia="MS Mincho"/>
          <w:bCs/>
          <w:szCs w:val="28"/>
          <w:lang w:eastAsia="ja-JP"/>
        </w:rPr>
        <w:t xml:space="preserve"> uz uzņēmumā nodarbināto speciālistu kvalifikācijas un prasmju paaugstināšanu, pārkvalificēšanās iespējām uz tirgū pieprasītām specialitātēm, vienlaikus papildinot šo programmu ar jaunu mērķa grupu - uzņēmuma vadības jeb menedžmenta pras</w:t>
      </w:r>
      <w:r w:rsidR="00452568">
        <w:rPr>
          <w:rFonts w:eastAsia="MS Mincho"/>
          <w:bCs/>
          <w:szCs w:val="28"/>
          <w:lang w:eastAsia="ja-JP"/>
        </w:rPr>
        <w:t>mju un zināšanu paaugstināšanas</w:t>
      </w:r>
    </w:p>
    <w:p w:rsidR="0052044E" w:rsidRPr="00E67A0E" w:rsidRDefault="00E81911" w:rsidP="0052044E">
      <w:pPr>
        <w:rPr>
          <w:lang w:eastAsia="ja-JP"/>
        </w:rPr>
      </w:pPr>
      <w:r w:rsidRPr="00E81911">
        <w:rPr>
          <w:b/>
          <w:lang w:eastAsia="ja-JP"/>
        </w:rPr>
        <w:t>Papildus prioritāri veicamām aktivitātēm</w:t>
      </w:r>
      <w:r>
        <w:rPr>
          <w:b/>
          <w:lang w:eastAsia="ja-JP"/>
        </w:rPr>
        <w:t xml:space="preserve"> īstenojamas ir sekojošas rīcības</w:t>
      </w:r>
      <w:r>
        <w:rPr>
          <w:lang w:eastAsia="ja-JP"/>
        </w:rPr>
        <w:t>:</w:t>
      </w:r>
    </w:p>
    <w:p w:rsidR="0049483A" w:rsidRPr="00E67A0E" w:rsidRDefault="0049483A" w:rsidP="0049483A">
      <w:pPr>
        <w:pStyle w:val="ListParagraph"/>
        <w:numPr>
          <w:ilvl w:val="0"/>
          <w:numId w:val="38"/>
        </w:numPr>
        <w:rPr>
          <w:lang w:eastAsia="ja-JP"/>
        </w:rPr>
      </w:pPr>
      <w:r w:rsidRPr="00E67A0E">
        <w:rPr>
          <w:lang w:eastAsia="ja-JP"/>
        </w:rPr>
        <w:t xml:space="preserve">Izglītības un zinātnes ministrijai </w:t>
      </w:r>
      <w:r>
        <w:rPr>
          <w:lang w:eastAsia="ja-JP"/>
        </w:rPr>
        <w:t>p</w:t>
      </w:r>
      <w:r w:rsidRPr="00E67A0E">
        <w:rPr>
          <w:lang w:eastAsia="ja-JP"/>
        </w:rPr>
        <w:t>rofesionālās izglītības attīstību ir nepieciešams veidot kompleksi, ietverot tajā, sākot jau no pamatskolas, profesionālo orientāciju, karjeras konsultācijas, profesionālās ievirzes izglītību vidusskolā, nodrošinot mācību programmu pēctecību pie pārejas no profesionālās vidusskolas uz koledžu vai augstskolu, organizēt vadošo uzņēmumu speciālistu vieslekcijas/meistarklases profesionālās izgl</w:t>
      </w:r>
      <w:r>
        <w:rPr>
          <w:lang w:eastAsia="ja-JP"/>
        </w:rPr>
        <w:t>ītības iestādēs un augstskolās;</w:t>
      </w:r>
    </w:p>
    <w:p w:rsidR="0049483A" w:rsidRDefault="0049483A" w:rsidP="0049483A">
      <w:pPr>
        <w:pStyle w:val="ListParagraph"/>
        <w:numPr>
          <w:ilvl w:val="0"/>
          <w:numId w:val="38"/>
        </w:numPr>
        <w:rPr>
          <w:lang w:eastAsia="ja-JP"/>
        </w:rPr>
      </w:pPr>
      <w:r w:rsidRPr="00E67A0E">
        <w:rPr>
          <w:lang w:eastAsia="ja-JP"/>
        </w:rPr>
        <w:t xml:space="preserve">Izglītības un zinātnes ministrijai ir nepieciešams </w:t>
      </w:r>
      <w:r w:rsidR="007751B7">
        <w:rPr>
          <w:lang w:eastAsia="ja-JP"/>
        </w:rPr>
        <w:t>palielināt augstāko un vidējo profesionālo</w:t>
      </w:r>
      <w:r w:rsidRPr="00E67A0E">
        <w:rPr>
          <w:lang w:eastAsia="ja-JP"/>
        </w:rPr>
        <w:t xml:space="preserve"> izglītību apgūstošo izglītojamo skaitu</w:t>
      </w:r>
      <w:r>
        <w:rPr>
          <w:lang w:eastAsia="ja-JP"/>
        </w:rPr>
        <w:t>;</w:t>
      </w:r>
    </w:p>
    <w:p w:rsidR="00AD5865" w:rsidRPr="00E67A0E" w:rsidRDefault="00AD5865" w:rsidP="00A5781B">
      <w:pPr>
        <w:pStyle w:val="ListParagraph"/>
        <w:numPr>
          <w:ilvl w:val="0"/>
          <w:numId w:val="38"/>
        </w:numPr>
        <w:rPr>
          <w:lang w:eastAsia="ja-JP"/>
        </w:rPr>
      </w:pPr>
      <w:r w:rsidRPr="00E67A0E">
        <w:rPr>
          <w:lang w:eastAsia="ja-JP"/>
        </w:rPr>
        <w:t>Izglītības un zinātnes ministrijai ir nepieciešams palielināt</w:t>
      </w:r>
      <w:r w:rsidR="00A5781B">
        <w:rPr>
          <w:lang w:eastAsia="ja-JP"/>
        </w:rPr>
        <w:t xml:space="preserve"> </w:t>
      </w:r>
      <w:r w:rsidRPr="00E67A0E">
        <w:rPr>
          <w:lang w:eastAsia="ja-JP"/>
        </w:rPr>
        <w:t>STEM</w:t>
      </w:r>
      <w:r w:rsidR="007751B7">
        <w:rPr>
          <w:lang w:eastAsia="ja-JP"/>
        </w:rPr>
        <w:t xml:space="preserve"> </w:t>
      </w:r>
      <w:r w:rsidRPr="00E67A0E">
        <w:rPr>
          <w:lang w:eastAsia="ja-JP"/>
        </w:rPr>
        <w:t xml:space="preserve">mācību priekšmetu īpatsvaru izglītības sistēmā. Kā arī ir nepieciešams uzlabot STEM mācību priekšmetu apgūšanai nepieciešamo infrastruktūru un </w:t>
      </w:r>
      <w:r w:rsidR="00C47492">
        <w:rPr>
          <w:lang w:eastAsia="ja-JP"/>
        </w:rPr>
        <w:t>satura kvalitāti;</w:t>
      </w:r>
    </w:p>
    <w:p w:rsidR="00AD5865" w:rsidRDefault="00AD5865" w:rsidP="00AD5865">
      <w:pPr>
        <w:pStyle w:val="ListParagraph"/>
        <w:numPr>
          <w:ilvl w:val="0"/>
          <w:numId w:val="38"/>
        </w:numPr>
        <w:rPr>
          <w:lang w:eastAsia="ja-JP"/>
        </w:rPr>
      </w:pPr>
      <w:r w:rsidRPr="00E67A0E">
        <w:rPr>
          <w:lang w:eastAsia="ja-JP"/>
        </w:rPr>
        <w:t xml:space="preserve">Izglītības un zinātnes ministrijai sadarbībā ar nozares </w:t>
      </w:r>
      <w:r w:rsidR="00223F5E">
        <w:rPr>
          <w:lang w:eastAsia="ja-JP"/>
        </w:rPr>
        <w:t>komersantus</w:t>
      </w:r>
      <w:r w:rsidR="00223F5E" w:rsidRPr="00E67A0E">
        <w:rPr>
          <w:lang w:eastAsia="ja-JP"/>
        </w:rPr>
        <w:t xml:space="preserve"> </w:t>
      </w:r>
      <w:r w:rsidRPr="00E67A0E">
        <w:rPr>
          <w:lang w:eastAsia="ja-JP"/>
        </w:rPr>
        <w:t>pārstāvošām organizācijām nepieciešams rast risinājumu speciālistu apmācībai profesijās, kurās Latvijas augstākās izglītības sistēma nevar nodrošināt vai nav lietderīgi organizēt tikai dažu augstākā līmeņa speciālistu sagatavošanu, kas attiecīgajā nozarē nepieciešami. Jāizvērtē šādu speciālistu studiju izmaksu segšanu ārvalstu profesionālās izglītības un augstākās izglītības mācību iestādēs, aktīvāku dalību starptautiskajās programmās, kā, piemēram, Leonardo da Vinči u.c.</w:t>
      </w:r>
    </w:p>
    <w:p w:rsidR="007F492D" w:rsidRPr="00E67A0E" w:rsidRDefault="007F492D" w:rsidP="007F492D">
      <w:pPr>
        <w:pStyle w:val="ListParagraph"/>
        <w:numPr>
          <w:ilvl w:val="0"/>
          <w:numId w:val="38"/>
        </w:numPr>
        <w:rPr>
          <w:lang w:eastAsia="ja-JP"/>
        </w:rPr>
      </w:pPr>
      <w:r w:rsidRPr="00E67A0E">
        <w:rPr>
          <w:lang w:eastAsia="ja-JP"/>
        </w:rPr>
        <w:t xml:space="preserve">Izglītības un zinātnes ministrijai sadarbībā ar nozares </w:t>
      </w:r>
      <w:r w:rsidR="00223F5E">
        <w:rPr>
          <w:lang w:eastAsia="ja-JP"/>
        </w:rPr>
        <w:t>komersantus</w:t>
      </w:r>
      <w:r w:rsidR="00223F5E" w:rsidRPr="00E67A0E">
        <w:rPr>
          <w:lang w:eastAsia="ja-JP"/>
        </w:rPr>
        <w:t xml:space="preserve"> </w:t>
      </w:r>
      <w:r w:rsidRPr="00E67A0E">
        <w:rPr>
          <w:lang w:eastAsia="ja-JP"/>
        </w:rPr>
        <w:t>pārstāvošām organizācijām</w:t>
      </w:r>
      <w:r>
        <w:rPr>
          <w:lang w:eastAsia="ja-JP"/>
        </w:rPr>
        <w:t xml:space="preserve"> nepieciešams īstenot pilotprojektu par </w:t>
      </w:r>
      <w:r w:rsidR="00F13C5D" w:rsidRPr="00D152D9">
        <w:rPr>
          <w:lang w:eastAsia="ja-JP"/>
        </w:rPr>
        <w:t>duālās apmācības sistēmas</w:t>
      </w:r>
      <w:r w:rsidR="00F13C5D" w:rsidRPr="001B302C">
        <w:rPr>
          <w:b/>
          <w:lang w:eastAsia="ja-JP"/>
        </w:rPr>
        <w:t xml:space="preserve"> (</w:t>
      </w:r>
      <w:r w:rsidRPr="007F492D">
        <w:rPr>
          <w:i/>
          <w:lang w:eastAsia="ja-JP"/>
        </w:rPr>
        <w:t>apprenticeship</w:t>
      </w:r>
      <w:r w:rsidR="00F13C5D">
        <w:rPr>
          <w:i/>
          <w:lang w:eastAsia="ja-JP"/>
        </w:rPr>
        <w:t>)</w:t>
      </w:r>
      <w:r>
        <w:rPr>
          <w:i/>
          <w:lang w:eastAsia="ja-JP"/>
        </w:rPr>
        <w:t xml:space="preserve"> </w:t>
      </w:r>
      <w:r>
        <w:rPr>
          <w:lang w:eastAsia="ja-JP"/>
        </w:rPr>
        <w:t>principa ieviešanas iespējām Latvijā.</w:t>
      </w:r>
    </w:p>
    <w:p w:rsidR="0052044E" w:rsidRPr="00E67A0E" w:rsidRDefault="006A2A7B" w:rsidP="0052044E">
      <w:pPr>
        <w:pStyle w:val="Heading2"/>
      </w:pPr>
      <w:bookmarkStart w:id="31" w:name="_Toc341951834"/>
      <w:bookmarkStart w:id="32" w:name="_Toc354732577"/>
      <w:r>
        <w:lastRenderedPageBreak/>
        <w:t>7</w:t>
      </w:r>
      <w:r w:rsidR="0052044E" w:rsidRPr="00E67A0E">
        <w:t>.</w:t>
      </w:r>
      <w:r w:rsidR="0052044E">
        <w:t>2</w:t>
      </w:r>
      <w:r w:rsidR="0052044E" w:rsidRPr="00E67A0E">
        <w:t xml:space="preserve">. </w:t>
      </w:r>
      <w:bookmarkEnd w:id="31"/>
      <w:r w:rsidR="0052044E" w:rsidRPr="00E67A0E">
        <w:t>Industriālo zonu attīstība</w:t>
      </w:r>
      <w:bookmarkEnd w:id="32"/>
    </w:p>
    <w:p w:rsidR="0052044E" w:rsidRPr="00E67A0E" w:rsidRDefault="0052044E" w:rsidP="0052044E">
      <w:r w:rsidRPr="00E67A0E">
        <w:t xml:space="preserve">Industriālās zonās koncentrējas ražošana – mērķtiecīgi attīstot šo zonu infrastruktūru un nodrošinot atbalsta instrumentus </w:t>
      </w:r>
      <w:r w:rsidR="00223F5E">
        <w:t>komersantiem</w:t>
      </w:r>
      <w:r w:rsidR="00223F5E" w:rsidRPr="00E67A0E">
        <w:t xml:space="preserve"> </w:t>
      </w:r>
      <w:r w:rsidRPr="00E67A0E">
        <w:t>ražošanas paplašināšanai un modernizācijai, var tikt sniegts būtisks ieguldījums ražošanas attīstībā.</w:t>
      </w:r>
    </w:p>
    <w:p w:rsidR="0052044E" w:rsidRPr="00E67A0E" w:rsidRDefault="0052044E" w:rsidP="0052044E">
      <w:r w:rsidRPr="00E67A0E">
        <w:t>Latvijā vēsturiski ir attīstījušās  industriālās zonas republikas pilsētās un bijušajos rajonu centros – šobrīd starptautiskas (Rīga, Liepāja, Daugavpils Ventspils), nacionālās (Jelgava, Jēkabpils, Rēzekne, Valmiera, Jūrmala) un reģionālās nozīmes centros (Kuldīga, Talsi, Tukums, Saldus, Dobele, Bauska, Ogre, Aizkraukle, Sigulda, Cēsis, Limbaži, Smiltene, Alūksne, Gulbene, Balvi, Preiļi, Līvāni, Ludza, Krāslava, Madona, Valka).  Šajā zonās koncentrējas liela daļa pilsētās esošo ražotāju, tāpēc būtiski ir nodrošināt teritorijas ar augstu ražošanas koncentrāciju ar atbilstošu publisko infrastruktūru (ceļiem, komunikācijām u.c.), turklāt republikas pilsētās (Rīga, Daugavpils, Jēkabpils, Jelgava, Jūrmala, Liepāja, Rēzekne, Valmiera un Ventspils)  dzīvo 51% valsts iedzīvotāju un tajās darbojas 70,8% komercsabiedrību un individuālo komersantu.</w:t>
      </w:r>
    </w:p>
    <w:p w:rsidR="0052044E" w:rsidRPr="00E67A0E" w:rsidRDefault="0052044E" w:rsidP="0052044E">
      <w:r w:rsidRPr="00E67A0E">
        <w:t>Mērķtiecīgs industriālo zonu atbalsts  var sniegt būtisku ieguldījumu ražošanas attīstībā.  Vienlaikus šajos centros ir vērojama arī pakalpojumu  koncentrācija (izglītība, veselība u.c.), kas ir būtiski, lai nodrošinātu  kvalificēta darba spēka esamību.</w:t>
      </w:r>
    </w:p>
    <w:p w:rsidR="0052044E" w:rsidRDefault="0052044E" w:rsidP="0052044E">
      <w:r w:rsidRPr="00E67A0E">
        <w:t xml:space="preserve">Ņemot vērā identificēto tirgus nepilnību, ka nekustamā īpašuma tirgū valda tendence, ka tirgus dalībnieki nespēj nodrošināt pieprasījumam atbilstošu industriālo telpu vai ar komunikācijām nodrošinātu zonu piedāvājumu ārpus Rīgas, kas ir saistīts ar vairākiem biznesa riskiem un spēju uzņemties tos, ir nepieciešams radīt valsts atbalsta mehānismu risku minimizēšanai un tirgus procesu nodrošināšanai. </w:t>
      </w:r>
    </w:p>
    <w:p w:rsidR="00EC7C36" w:rsidRDefault="00EC7C36" w:rsidP="00EC7C36">
      <w:r w:rsidRPr="00E67A0E">
        <w:t>Vienlaikus ir identificēta apstrādes rūpniecības uzņēmumu nepieciešamība pēc kvalitatīvas infrastruktūras, to turpmākas darbības un attīstības paplašināšanai, līdz ar to ir nepieciešams veidot valsts atbalsta risinājumu arī ceļu un komunikāciju sakārtošanai (kā daļa no publiskās infrastruktūras), gadījumos, kas ir ārpus industriālajām zonām apstrādes rūpniecības uzņēmumu atbalstam.</w:t>
      </w:r>
    </w:p>
    <w:p w:rsidR="0052044E" w:rsidRPr="00E67A0E" w:rsidRDefault="0052044E" w:rsidP="0052044E">
      <w:r w:rsidRPr="00E67A0E">
        <w:t xml:space="preserve">Ņemot vērā iepriekš minētos secinājumus par tirgus kļūdām un apstākļiem, kādi pastāv industriālo zonu un publisko inženierkomunikāciju jomā, </w:t>
      </w:r>
      <w:r w:rsidRPr="007A6892">
        <w:rPr>
          <w:b/>
        </w:rPr>
        <w:t xml:space="preserve">ir </w:t>
      </w:r>
      <w:r w:rsidR="001B2A58" w:rsidRPr="001B2A58">
        <w:rPr>
          <w:b/>
          <w:u w:val="single"/>
        </w:rPr>
        <w:t>prioritāri</w:t>
      </w:r>
      <w:r w:rsidR="001B2A58">
        <w:rPr>
          <w:b/>
        </w:rPr>
        <w:t xml:space="preserve"> nepieciešami sekojoši</w:t>
      </w:r>
      <w:r w:rsidRPr="007A6892">
        <w:rPr>
          <w:b/>
        </w:rPr>
        <w:t xml:space="preserve"> atbalsta </w:t>
      </w:r>
      <w:r w:rsidR="001B2A58">
        <w:rPr>
          <w:b/>
        </w:rPr>
        <w:t>virzieni</w:t>
      </w:r>
      <w:r w:rsidRPr="00E67A0E">
        <w:t xml:space="preserve">: </w:t>
      </w:r>
    </w:p>
    <w:p w:rsidR="0052044E" w:rsidRPr="00E67A0E" w:rsidRDefault="0052044E" w:rsidP="0052044E">
      <w:pPr>
        <w:pStyle w:val="ListParagraph"/>
        <w:numPr>
          <w:ilvl w:val="1"/>
          <w:numId w:val="40"/>
        </w:numPr>
        <w:spacing w:after="200"/>
        <w:ind w:right="15"/>
        <w:rPr>
          <w:szCs w:val="28"/>
        </w:rPr>
      </w:pPr>
      <w:r>
        <w:rPr>
          <w:szCs w:val="28"/>
        </w:rPr>
        <w:t>e</w:t>
      </w:r>
      <w:r w:rsidRPr="00E67A0E">
        <w:rPr>
          <w:szCs w:val="28"/>
        </w:rPr>
        <w:t>sošu industriālo zonu pielāgošanai (ceļi, komunikācijas (ūdensvads, kanalizācija, gāze u.c.), stāvlaukumi, meliorācija, telpas u.c</w:t>
      </w:r>
      <w:r>
        <w:rPr>
          <w:szCs w:val="28"/>
        </w:rPr>
        <w:t>.</w:t>
      </w:r>
      <w:r w:rsidRPr="00E67A0E">
        <w:rPr>
          <w:szCs w:val="28"/>
        </w:rPr>
        <w:t>);</w:t>
      </w:r>
    </w:p>
    <w:p w:rsidR="0052044E" w:rsidRDefault="0052044E" w:rsidP="0052044E">
      <w:pPr>
        <w:pStyle w:val="ListParagraph"/>
        <w:numPr>
          <w:ilvl w:val="1"/>
          <w:numId w:val="40"/>
        </w:numPr>
        <w:spacing w:after="200"/>
        <w:ind w:right="15"/>
        <w:rPr>
          <w:szCs w:val="28"/>
        </w:rPr>
      </w:pPr>
      <w:r>
        <w:rPr>
          <w:szCs w:val="28"/>
        </w:rPr>
        <w:t>c</w:t>
      </w:r>
      <w:r w:rsidRPr="00E67A0E">
        <w:rPr>
          <w:szCs w:val="28"/>
        </w:rPr>
        <w:t>eļu un inženierkomunikāciju (elektrība, ūdensvads, kanalizācija, gāze, apgaismojums u.c.) sakārtošana līdz ražošanas objekti</w:t>
      </w:r>
      <w:r w:rsidR="00C47492">
        <w:rPr>
          <w:szCs w:val="28"/>
        </w:rPr>
        <w:t>em (ārpus indu</w:t>
      </w:r>
      <w:r w:rsidR="003B5AB9">
        <w:rPr>
          <w:szCs w:val="28"/>
        </w:rPr>
        <w:t>striālajām zonām)</w:t>
      </w:r>
    </w:p>
    <w:p w:rsidR="003B5AB9" w:rsidRPr="00E67A0E" w:rsidRDefault="003B5AB9" w:rsidP="0052044E">
      <w:pPr>
        <w:pStyle w:val="ListParagraph"/>
        <w:numPr>
          <w:ilvl w:val="1"/>
          <w:numId w:val="40"/>
        </w:numPr>
        <w:spacing w:after="200"/>
        <w:ind w:right="15"/>
        <w:rPr>
          <w:szCs w:val="28"/>
        </w:rPr>
      </w:pPr>
      <w:r>
        <w:rPr>
          <w:szCs w:val="28"/>
        </w:rPr>
        <w:t>industriālo telpu un platību tirgus attīstība.</w:t>
      </w:r>
    </w:p>
    <w:p w:rsidR="0052044E" w:rsidRPr="001B2A58" w:rsidRDefault="001B2A58" w:rsidP="001B2A58">
      <w:pPr>
        <w:spacing w:after="200"/>
        <w:ind w:right="15" w:firstLine="0"/>
        <w:rPr>
          <w:szCs w:val="28"/>
        </w:rPr>
      </w:pPr>
      <w:r w:rsidRPr="001B2A58">
        <w:rPr>
          <w:b/>
          <w:szCs w:val="28"/>
        </w:rPr>
        <w:lastRenderedPageBreak/>
        <w:t>Papildus ir nepieciešams arī atbalstīt</w:t>
      </w:r>
      <w:r>
        <w:rPr>
          <w:szCs w:val="28"/>
        </w:rPr>
        <w:t xml:space="preserve"> </w:t>
      </w:r>
      <w:r w:rsidR="0052044E" w:rsidRPr="001B2A58">
        <w:rPr>
          <w:szCs w:val="28"/>
        </w:rPr>
        <w:t>j</w:t>
      </w:r>
      <w:r>
        <w:rPr>
          <w:szCs w:val="28"/>
        </w:rPr>
        <w:t>aunu industriālo zonu izveid</w:t>
      </w:r>
      <w:r w:rsidR="0052044E" w:rsidRPr="001B2A58">
        <w:rPr>
          <w:szCs w:val="28"/>
        </w:rPr>
        <w:t xml:space="preserve">i </w:t>
      </w:r>
      <w:r w:rsidR="0052044E" w:rsidRPr="00E67A0E">
        <w:t>starptautiskas, nacionālā</w:t>
      </w:r>
      <w:r w:rsidR="00BD4919">
        <w:t>s un reģionālās nozīmes centros, kuros ir ekonomiski pamatoti ieguldījumi un nepastāv industriālo nekustamo īpašumu tirgus mehānisms.</w:t>
      </w:r>
    </w:p>
    <w:p w:rsidR="00C27468" w:rsidRPr="00E67A0E" w:rsidRDefault="006A2A7B" w:rsidP="00C27468">
      <w:pPr>
        <w:pStyle w:val="Heading2"/>
      </w:pPr>
      <w:bookmarkStart w:id="33" w:name="_Toc354732578"/>
      <w:r>
        <w:t>7</w:t>
      </w:r>
      <w:r w:rsidR="00C27468" w:rsidRPr="00E67A0E">
        <w:t>.</w:t>
      </w:r>
      <w:r w:rsidR="0052044E">
        <w:t>3</w:t>
      </w:r>
      <w:r w:rsidR="00C27468" w:rsidRPr="00E67A0E">
        <w:t>. Finanšu pieejamība</w:t>
      </w:r>
      <w:bookmarkEnd w:id="33"/>
    </w:p>
    <w:p w:rsidR="00C27468" w:rsidRPr="00E67A0E" w:rsidRDefault="00C27468" w:rsidP="00C27468">
      <w:r w:rsidRPr="00E67A0E">
        <w:t xml:space="preserve">Kapitāla tirgus Latvijā ir salīdzinoši ierobežots, ES struktūrfondu atbalsta programmas un tajās pieejamie finanšu līdzekļi uzņēmējdarbības veicināšanai ir ierobežoti gan to pieejamības nosacījumu, gan apjoma ziņā. Savukārt, banku kreditēšanas politika pēckrīzes periodā ir vairāk orientēta uz uzņēmumiem ar stabiliem finanšu rādītājiem un pozīciju tirgū. Uzņēmumiem ir grūtības iegūt ilgtermiņa finansējumu gadījumos, kad pašu kapitāls (dalībnieku līdzdalība) vai nodrošinājums nav pietiekams kredītresursu piesaistei nepieciešamajā apjomā. Tā rezultātā veidojas izteikts finanšu līdzekļu trūkums darbībai iekšējā tirgū, uzņēmumu izaugsmei, attīstībai  un eksporta veikšanai. </w:t>
      </w:r>
    </w:p>
    <w:p w:rsidR="00C27468" w:rsidRDefault="00C27468" w:rsidP="00C27468">
      <w:r w:rsidRPr="00E67A0E">
        <w:t>Uzņēmumu un banku rīcībā esošo aktīvu vērtību rēķina pēc to tirgus cenas, kura krīzes laikā var ievērojami samazināties arī zem ekonomiski pamatota līmeņa, veidojoties cenu burbulim pretējai situācijai. Šādā situācijā gan uzņēmumi, gan bankas cieš zaudējumus, kas pasliktina to bilanci un liedz uzņemties jaunas saistības – aizņemties naudu no bankām vai izsniegt kredītus. Pat ja banku bilances tiek sakārtotas, kreditēšanas atsākšanu bremzē uzņēmumu bilanču stāvoklis. Krīzes rezultātā īpašumu vērtība ir zema un nelikvīda, liedzot pieeju finansējumam projektiem ar samērīgu ienesīgumu un biznesa risku. Ja uzņēmumi ir cietuši zaudējumus, ir sarucis to kapitāls un potenciālo ķīlu vērtība, arī labu projektu finansēšana nevar notikt kapitāla nepietiekamības un mazās komercķīlu kapacitātes dēļ.</w:t>
      </w:r>
      <w:r>
        <w:t xml:space="preserve"> To apliecina arī veiktās investīcijas jaunās ražošanas iekārtās. </w:t>
      </w:r>
      <w:r w:rsidR="0091402C">
        <w:t>2</w:t>
      </w:r>
      <w:r>
        <w:t>.tabula</w:t>
      </w:r>
    </w:p>
    <w:p w:rsidR="00C27468" w:rsidRPr="00E67A0E" w:rsidRDefault="00B03D95" w:rsidP="00C27468">
      <w:pPr>
        <w:jc w:val="right"/>
      </w:pPr>
      <w:r>
        <w:t>1</w:t>
      </w:r>
      <w:r w:rsidR="00C27468" w:rsidRPr="00E67A0E">
        <w:t xml:space="preserve">.tabula </w:t>
      </w:r>
    </w:p>
    <w:p w:rsidR="00C27468" w:rsidRPr="0091402C" w:rsidRDefault="00BD0DFE" w:rsidP="00C27468">
      <w:pPr>
        <w:jc w:val="center"/>
        <w:rPr>
          <w:b/>
        </w:rPr>
      </w:pPr>
      <w:r w:rsidRPr="00BD0DFE">
        <w:rPr>
          <w:b/>
        </w:rPr>
        <w:t>UIN atvieglojumu apjoms</w:t>
      </w:r>
      <w:r>
        <w:rPr>
          <w:b/>
        </w:rPr>
        <w:t xml:space="preserve"> un fiskālā ietekme </w:t>
      </w:r>
      <w:r w:rsidR="00C27468" w:rsidRPr="0091402C">
        <w:rPr>
          <w:b/>
        </w:rPr>
        <w:t>sadalījumā pa gadiem</w:t>
      </w:r>
      <w:r w:rsidR="00A478B3" w:rsidRPr="0091402C">
        <w:rPr>
          <w:b/>
        </w:rPr>
        <w:t xml:space="preserve"> (milj. LVL)</w:t>
      </w:r>
    </w:p>
    <w:tbl>
      <w:tblPr>
        <w:tblStyle w:val="MediumList2"/>
        <w:tblW w:w="9425" w:type="dxa"/>
        <w:tblLook w:val="04A0" w:firstRow="1" w:lastRow="0" w:firstColumn="1" w:lastColumn="0" w:noHBand="0" w:noVBand="1"/>
      </w:tblPr>
      <w:tblGrid>
        <w:gridCol w:w="1570"/>
        <w:gridCol w:w="1571"/>
        <w:gridCol w:w="1571"/>
        <w:gridCol w:w="1571"/>
        <w:gridCol w:w="1571"/>
        <w:gridCol w:w="1571"/>
      </w:tblGrid>
      <w:tr w:rsidR="003B5AB9" w:rsidRPr="00A478B3" w:rsidTr="003B5AB9">
        <w:trPr>
          <w:cnfStyle w:val="100000000000" w:firstRow="1" w:lastRow="0" w:firstColumn="0" w:lastColumn="0" w:oddVBand="0" w:evenVBand="0" w:oddHBand="0" w:evenHBand="0" w:firstRowFirstColumn="0" w:firstRowLastColumn="0" w:lastRowFirstColumn="0" w:lastRowLastColumn="0"/>
          <w:trHeight w:val="380"/>
        </w:trPr>
        <w:tc>
          <w:tcPr>
            <w:cnfStyle w:val="001000000100" w:firstRow="0" w:lastRow="0" w:firstColumn="1" w:lastColumn="0" w:oddVBand="0" w:evenVBand="0" w:oddHBand="0" w:evenHBand="0" w:firstRowFirstColumn="1" w:firstRowLastColumn="0" w:lastRowFirstColumn="0" w:lastRowLastColumn="0"/>
            <w:tcW w:w="1570" w:type="dxa"/>
          </w:tcPr>
          <w:p w:rsidR="003B5AB9" w:rsidRPr="00A478B3" w:rsidRDefault="003B5AB9" w:rsidP="00C27468">
            <w:pPr>
              <w:ind w:firstLine="0"/>
              <w:rPr>
                <w:sz w:val="20"/>
                <w:szCs w:val="20"/>
              </w:rPr>
            </w:pPr>
          </w:p>
        </w:tc>
        <w:tc>
          <w:tcPr>
            <w:tcW w:w="1571" w:type="dxa"/>
            <w:vAlign w:val="center"/>
          </w:tcPr>
          <w:p w:rsidR="003B5AB9" w:rsidRPr="00A478B3" w:rsidRDefault="003B5AB9" w:rsidP="003B5AB9">
            <w:pPr>
              <w:ind w:firstLine="0"/>
              <w:jc w:val="center"/>
              <w:cnfStyle w:val="100000000000" w:firstRow="1" w:lastRow="0" w:firstColumn="0" w:lastColumn="0" w:oddVBand="0" w:evenVBand="0" w:oddHBand="0" w:evenHBand="0" w:firstRowFirstColumn="0" w:firstRowLastColumn="0" w:lastRowFirstColumn="0" w:lastRowLastColumn="0"/>
              <w:rPr>
                <w:sz w:val="20"/>
                <w:szCs w:val="20"/>
              </w:rPr>
            </w:pPr>
            <w:r w:rsidRPr="00A478B3">
              <w:rPr>
                <w:rFonts w:eastAsia="Times New Roman" w:cs="Times New Roman"/>
                <w:b/>
                <w:bCs/>
                <w:color w:val="000000"/>
                <w:sz w:val="20"/>
                <w:szCs w:val="20"/>
                <w:lang w:eastAsia="lv-LV"/>
              </w:rPr>
              <w:t>2007.gads</w:t>
            </w:r>
          </w:p>
        </w:tc>
        <w:tc>
          <w:tcPr>
            <w:tcW w:w="1571" w:type="dxa"/>
            <w:vAlign w:val="center"/>
          </w:tcPr>
          <w:p w:rsidR="003B5AB9" w:rsidRPr="00A478B3" w:rsidRDefault="003B5AB9" w:rsidP="003B5AB9">
            <w:pPr>
              <w:ind w:firstLine="0"/>
              <w:jc w:val="center"/>
              <w:cnfStyle w:val="100000000000" w:firstRow="1" w:lastRow="0" w:firstColumn="0" w:lastColumn="0" w:oddVBand="0" w:evenVBand="0" w:oddHBand="0" w:evenHBand="0" w:firstRowFirstColumn="0" w:firstRowLastColumn="0" w:lastRowFirstColumn="0" w:lastRowLastColumn="0"/>
              <w:rPr>
                <w:sz w:val="20"/>
                <w:szCs w:val="20"/>
              </w:rPr>
            </w:pPr>
            <w:r w:rsidRPr="00A478B3">
              <w:rPr>
                <w:rFonts w:eastAsia="Times New Roman" w:cs="Times New Roman"/>
                <w:b/>
                <w:bCs/>
                <w:color w:val="000000"/>
                <w:sz w:val="20"/>
                <w:szCs w:val="20"/>
                <w:lang w:eastAsia="lv-LV"/>
              </w:rPr>
              <w:t>2008.gads</w:t>
            </w:r>
          </w:p>
        </w:tc>
        <w:tc>
          <w:tcPr>
            <w:tcW w:w="1571" w:type="dxa"/>
            <w:vAlign w:val="center"/>
          </w:tcPr>
          <w:p w:rsidR="003B5AB9" w:rsidRPr="00A478B3" w:rsidRDefault="003B5AB9" w:rsidP="003B5AB9">
            <w:pPr>
              <w:ind w:firstLine="0"/>
              <w:jc w:val="center"/>
              <w:cnfStyle w:val="100000000000" w:firstRow="1" w:lastRow="0" w:firstColumn="0" w:lastColumn="0" w:oddVBand="0" w:evenVBand="0" w:oddHBand="0" w:evenHBand="0" w:firstRowFirstColumn="0" w:firstRowLastColumn="0" w:lastRowFirstColumn="0" w:lastRowLastColumn="0"/>
              <w:rPr>
                <w:sz w:val="20"/>
                <w:szCs w:val="20"/>
              </w:rPr>
            </w:pPr>
            <w:r w:rsidRPr="00A478B3">
              <w:rPr>
                <w:rFonts w:eastAsia="Times New Roman" w:cs="Times New Roman"/>
                <w:b/>
                <w:bCs/>
                <w:color w:val="000000"/>
                <w:sz w:val="20"/>
                <w:szCs w:val="20"/>
                <w:lang w:eastAsia="lv-LV"/>
              </w:rPr>
              <w:t>2009.gads</w:t>
            </w:r>
          </w:p>
        </w:tc>
        <w:tc>
          <w:tcPr>
            <w:tcW w:w="1571" w:type="dxa"/>
            <w:vAlign w:val="center"/>
          </w:tcPr>
          <w:p w:rsidR="003B5AB9" w:rsidRPr="00A478B3" w:rsidRDefault="003B5AB9" w:rsidP="003B5AB9">
            <w:pPr>
              <w:ind w:firstLine="0"/>
              <w:jc w:val="center"/>
              <w:cnfStyle w:val="100000000000" w:firstRow="1" w:lastRow="0" w:firstColumn="0" w:lastColumn="0" w:oddVBand="0" w:evenVBand="0" w:oddHBand="0" w:evenHBand="0" w:firstRowFirstColumn="0" w:firstRowLastColumn="0" w:lastRowFirstColumn="0" w:lastRowLastColumn="0"/>
              <w:rPr>
                <w:sz w:val="20"/>
                <w:szCs w:val="20"/>
              </w:rPr>
            </w:pPr>
            <w:r w:rsidRPr="00A478B3">
              <w:rPr>
                <w:rFonts w:eastAsia="Times New Roman" w:cs="Times New Roman"/>
                <w:b/>
                <w:bCs/>
                <w:color w:val="000000"/>
                <w:sz w:val="20"/>
                <w:szCs w:val="20"/>
                <w:lang w:eastAsia="lv-LV"/>
              </w:rPr>
              <w:t>2010.gads</w:t>
            </w:r>
          </w:p>
        </w:tc>
        <w:tc>
          <w:tcPr>
            <w:tcW w:w="1571" w:type="dxa"/>
            <w:vAlign w:val="center"/>
          </w:tcPr>
          <w:p w:rsidR="003B5AB9" w:rsidRPr="00A478B3" w:rsidRDefault="003B5AB9" w:rsidP="003B5AB9">
            <w:pPr>
              <w:ind w:firstLine="0"/>
              <w:jc w:val="center"/>
              <w:cnfStyle w:val="100000000000" w:firstRow="1" w:lastRow="0" w:firstColumn="0" w:lastColumn="0" w:oddVBand="0" w:evenVBand="0" w:oddHBand="0" w:evenHBand="0" w:firstRowFirstColumn="0" w:firstRowLastColumn="0" w:lastRowFirstColumn="0" w:lastRowLastColumn="0"/>
              <w:rPr>
                <w:sz w:val="20"/>
                <w:szCs w:val="20"/>
              </w:rPr>
            </w:pPr>
            <w:r w:rsidRPr="00A478B3">
              <w:rPr>
                <w:rFonts w:eastAsia="Times New Roman" w:cs="Times New Roman"/>
                <w:b/>
                <w:bCs/>
                <w:color w:val="000000"/>
                <w:sz w:val="20"/>
                <w:szCs w:val="20"/>
                <w:lang w:eastAsia="lv-LV"/>
              </w:rPr>
              <w:t>2011.gads</w:t>
            </w:r>
          </w:p>
        </w:tc>
      </w:tr>
      <w:tr w:rsidR="003B5AB9" w:rsidRPr="00A478B3" w:rsidTr="00A478B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570" w:type="dxa"/>
          </w:tcPr>
          <w:p w:rsidR="003B5AB9" w:rsidRPr="00A478B3" w:rsidRDefault="003B5AB9" w:rsidP="003B5AB9">
            <w:pPr>
              <w:ind w:firstLine="0"/>
              <w:jc w:val="right"/>
              <w:rPr>
                <w:sz w:val="20"/>
                <w:szCs w:val="20"/>
              </w:rPr>
            </w:pPr>
            <w:r w:rsidRPr="00A478B3">
              <w:rPr>
                <w:rFonts w:eastAsia="Times New Roman" w:cs="Times New Roman"/>
                <w:b/>
                <w:bCs/>
                <w:color w:val="000000"/>
                <w:sz w:val="20"/>
                <w:szCs w:val="20"/>
                <w:lang w:eastAsia="lv-LV"/>
              </w:rPr>
              <w:t xml:space="preserve">Apjoms </w:t>
            </w:r>
          </w:p>
        </w:tc>
        <w:tc>
          <w:tcPr>
            <w:tcW w:w="1571" w:type="dxa"/>
            <w:vAlign w:val="center"/>
          </w:tcPr>
          <w:p w:rsidR="003B5AB9" w:rsidRPr="00A478B3" w:rsidRDefault="003B5AB9" w:rsidP="00A478B3">
            <w:pPr>
              <w:ind w:firstLine="0"/>
              <w:jc w:val="center"/>
              <w:cnfStyle w:val="000000100000" w:firstRow="0" w:lastRow="0" w:firstColumn="0" w:lastColumn="0" w:oddVBand="0" w:evenVBand="0" w:oddHBand="1" w:evenHBand="0" w:firstRowFirstColumn="0" w:firstRowLastColumn="0" w:lastRowFirstColumn="0" w:lastRowLastColumn="0"/>
              <w:rPr>
                <w:sz w:val="24"/>
                <w:szCs w:val="24"/>
              </w:rPr>
            </w:pPr>
            <w:r w:rsidRPr="00A478B3">
              <w:rPr>
                <w:rFonts w:eastAsia="Times New Roman" w:cs="Times New Roman"/>
                <w:color w:val="000000"/>
                <w:sz w:val="24"/>
                <w:szCs w:val="24"/>
                <w:lang w:eastAsia="lv-LV"/>
              </w:rPr>
              <w:t>10</w:t>
            </w:r>
            <w:r w:rsidR="00A478B3" w:rsidRPr="00A478B3">
              <w:rPr>
                <w:rFonts w:eastAsia="Times New Roman" w:cs="Times New Roman"/>
                <w:color w:val="000000"/>
                <w:sz w:val="24"/>
                <w:szCs w:val="24"/>
                <w:lang w:eastAsia="lv-LV"/>
              </w:rPr>
              <w:t>,4</w:t>
            </w:r>
          </w:p>
        </w:tc>
        <w:tc>
          <w:tcPr>
            <w:tcW w:w="1571" w:type="dxa"/>
            <w:vAlign w:val="center"/>
          </w:tcPr>
          <w:p w:rsidR="003B5AB9" w:rsidRPr="00A478B3" w:rsidRDefault="003B5AB9" w:rsidP="00A478B3">
            <w:pPr>
              <w:ind w:firstLine="0"/>
              <w:jc w:val="center"/>
              <w:cnfStyle w:val="000000100000" w:firstRow="0" w:lastRow="0" w:firstColumn="0" w:lastColumn="0" w:oddVBand="0" w:evenVBand="0" w:oddHBand="1" w:evenHBand="0" w:firstRowFirstColumn="0" w:firstRowLastColumn="0" w:lastRowFirstColumn="0" w:lastRowLastColumn="0"/>
              <w:rPr>
                <w:sz w:val="24"/>
                <w:szCs w:val="24"/>
              </w:rPr>
            </w:pPr>
            <w:r w:rsidRPr="00A478B3">
              <w:rPr>
                <w:rFonts w:eastAsia="Times New Roman" w:cs="Times New Roman"/>
                <w:color w:val="000000"/>
                <w:sz w:val="24"/>
                <w:szCs w:val="24"/>
                <w:lang w:eastAsia="lv-LV"/>
              </w:rPr>
              <w:t>24</w:t>
            </w:r>
            <w:r w:rsidR="00A478B3" w:rsidRPr="00A478B3">
              <w:rPr>
                <w:rFonts w:eastAsia="Times New Roman" w:cs="Times New Roman"/>
                <w:color w:val="000000"/>
                <w:sz w:val="24"/>
                <w:szCs w:val="24"/>
                <w:lang w:eastAsia="lv-LV"/>
              </w:rPr>
              <w:t>,8</w:t>
            </w:r>
          </w:p>
        </w:tc>
        <w:tc>
          <w:tcPr>
            <w:tcW w:w="1571" w:type="dxa"/>
            <w:vAlign w:val="center"/>
          </w:tcPr>
          <w:p w:rsidR="003B5AB9" w:rsidRPr="00A478B3" w:rsidRDefault="003B5AB9" w:rsidP="00A478B3">
            <w:pPr>
              <w:ind w:firstLine="0"/>
              <w:jc w:val="center"/>
              <w:cnfStyle w:val="000000100000" w:firstRow="0" w:lastRow="0" w:firstColumn="0" w:lastColumn="0" w:oddVBand="0" w:evenVBand="0" w:oddHBand="1" w:evenHBand="0" w:firstRowFirstColumn="0" w:firstRowLastColumn="0" w:lastRowFirstColumn="0" w:lastRowLastColumn="0"/>
              <w:rPr>
                <w:sz w:val="24"/>
                <w:szCs w:val="24"/>
              </w:rPr>
            </w:pPr>
            <w:r w:rsidRPr="00A478B3">
              <w:rPr>
                <w:rFonts w:eastAsia="Times New Roman" w:cs="Times New Roman"/>
                <w:color w:val="000000"/>
                <w:sz w:val="24"/>
                <w:szCs w:val="24"/>
                <w:lang w:eastAsia="lv-LV"/>
              </w:rPr>
              <w:t>13</w:t>
            </w:r>
            <w:r w:rsidR="00A478B3" w:rsidRPr="00A478B3">
              <w:rPr>
                <w:rFonts w:eastAsia="Times New Roman" w:cs="Times New Roman"/>
                <w:color w:val="000000"/>
                <w:sz w:val="24"/>
                <w:szCs w:val="24"/>
                <w:lang w:eastAsia="lv-LV"/>
              </w:rPr>
              <w:t>,8</w:t>
            </w:r>
          </w:p>
        </w:tc>
        <w:tc>
          <w:tcPr>
            <w:tcW w:w="1571" w:type="dxa"/>
            <w:vAlign w:val="center"/>
          </w:tcPr>
          <w:p w:rsidR="003B5AB9" w:rsidRPr="00A478B3" w:rsidRDefault="003B5AB9" w:rsidP="00A478B3">
            <w:pPr>
              <w:ind w:firstLine="0"/>
              <w:jc w:val="center"/>
              <w:cnfStyle w:val="000000100000" w:firstRow="0" w:lastRow="0" w:firstColumn="0" w:lastColumn="0" w:oddVBand="0" w:evenVBand="0" w:oddHBand="1" w:evenHBand="0" w:firstRowFirstColumn="0" w:firstRowLastColumn="0" w:lastRowFirstColumn="0" w:lastRowLastColumn="0"/>
              <w:rPr>
                <w:sz w:val="24"/>
                <w:szCs w:val="24"/>
              </w:rPr>
            </w:pPr>
            <w:r w:rsidRPr="00A478B3">
              <w:rPr>
                <w:rFonts w:eastAsia="Times New Roman" w:cs="Times New Roman"/>
                <w:color w:val="000000"/>
                <w:sz w:val="24"/>
                <w:szCs w:val="24"/>
                <w:lang w:eastAsia="lv-LV"/>
              </w:rPr>
              <w:t>26</w:t>
            </w:r>
            <w:r w:rsidR="00A478B3" w:rsidRPr="00A478B3">
              <w:rPr>
                <w:rFonts w:eastAsia="Times New Roman" w:cs="Times New Roman"/>
                <w:color w:val="000000"/>
                <w:sz w:val="24"/>
                <w:szCs w:val="24"/>
                <w:lang w:eastAsia="lv-LV"/>
              </w:rPr>
              <w:t>,7</w:t>
            </w:r>
          </w:p>
        </w:tc>
        <w:tc>
          <w:tcPr>
            <w:tcW w:w="1571" w:type="dxa"/>
            <w:vAlign w:val="center"/>
          </w:tcPr>
          <w:p w:rsidR="003B5AB9" w:rsidRPr="00A478B3" w:rsidRDefault="003B5AB9" w:rsidP="00A478B3">
            <w:pPr>
              <w:ind w:firstLine="0"/>
              <w:jc w:val="center"/>
              <w:cnfStyle w:val="000000100000" w:firstRow="0" w:lastRow="0" w:firstColumn="0" w:lastColumn="0" w:oddVBand="0" w:evenVBand="0" w:oddHBand="1" w:evenHBand="0" w:firstRowFirstColumn="0" w:firstRowLastColumn="0" w:lastRowFirstColumn="0" w:lastRowLastColumn="0"/>
              <w:rPr>
                <w:sz w:val="24"/>
                <w:szCs w:val="24"/>
              </w:rPr>
            </w:pPr>
            <w:r w:rsidRPr="00A478B3">
              <w:rPr>
                <w:rFonts w:eastAsia="Times New Roman" w:cs="Times New Roman"/>
                <w:color w:val="000000"/>
                <w:sz w:val="24"/>
                <w:szCs w:val="24"/>
                <w:lang w:eastAsia="lv-LV"/>
              </w:rPr>
              <w:t>14</w:t>
            </w:r>
            <w:r w:rsidR="00A478B3" w:rsidRPr="00A478B3">
              <w:rPr>
                <w:rFonts w:eastAsia="Times New Roman" w:cs="Times New Roman"/>
                <w:color w:val="000000"/>
                <w:sz w:val="24"/>
                <w:szCs w:val="24"/>
                <w:lang w:eastAsia="lv-LV"/>
              </w:rPr>
              <w:t>,6</w:t>
            </w:r>
          </w:p>
        </w:tc>
      </w:tr>
      <w:tr w:rsidR="003B5AB9" w:rsidRPr="00A478B3" w:rsidTr="00A478B3">
        <w:trPr>
          <w:trHeight w:val="358"/>
        </w:trPr>
        <w:tc>
          <w:tcPr>
            <w:cnfStyle w:val="001000000000" w:firstRow="0" w:lastRow="0" w:firstColumn="1" w:lastColumn="0" w:oddVBand="0" w:evenVBand="0" w:oddHBand="0" w:evenHBand="0" w:firstRowFirstColumn="0" w:firstRowLastColumn="0" w:lastRowFirstColumn="0" w:lastRowLastColumn="0"/>
            <w:tcW w:w="1570" w:type="dxa"/>
          </w:tcPr>
          <w:p w:rsidR="003B5AB9" w:rsidRPr="00A478B3" w:rsidRDefault="003B5AB9" w:rsidP="003B5AB9">
            <w:pPr>
              <w:ind w:firstLine="0"/>
              <w:jc w:val="right"/>
              <w:rPr>
                <w:sz w:val="20"/>
                <w:szCs w:val="20"/>
              </w:rPr>
            </w:pPr>
            <w:r w:rsidRPr="00A478B3">
              <w:rPr>
                <w:rFonts w:eastAsia="Times New Roman" w:cs="Times New Roman"/>
                <w:b/>
                <w:bCs/>
                <w:color w:val="000000"/>
                <w:sz w:val="20"/>
                <w:szCs w:val="20"/>
                <w:lang w:eastAsia="lv-LV"/>
              </w:rPr>
              <w:t>Izmaiņas % pret iepriekšējo gadu</w:t>
            </w:r>
          </w:p>
        </w:tc>
        <w:tc>
          <w:tcPr>
            <w:tcW w:w="1571" w:type="dxa"/>
            <w:vAlign w:val="center"/>
          </w:tcPr>
          <w:p w:rsidR="003B5AB9" w:rsidRPr="00A478B3" w:rsidRDefault="003B5AB9" w:rsidP="00A478B3">
            <w:pPr>
              <w:ind w:firstLine="0"/>
              <w:jc w:val="center"/>
              <w:cnfStyle w:val="000000000000" w:firstRow="0" w:lastRow="0" w:firstColumn="0" w:lastColumn="0" w:oddVBand="0" w:evenVBand="0" w:oddHBand="0" w:evenHBand="0" w:firstRowFirstColumn="0" w:firstRowLastColumn="0" w:lastRowFirstColumn="0" w:lastRowLastColumn="0"/>
              <w:rPr>
                <w:i/>
                <w:sz w:val="24"/>
                <w:szCs w:val="24"/>
              </w:rPr>
            </w:pPr>
            <w:r w:rsidRPr="00A478B3">
              <w:rPr>
                <w:i/>
                <w:sz w:val="24"/>
                <w:szCs w:val="24"/>
              </w:rPr>
              <w:t>-</w:t>
            </w:r>
          </w:p>
        </w:tc>
        <w:tc>
          <w:tcPr>
            <w:tcW w:w="1571" w:type="dxa"/>
            <w:vAlign w:val="center"/>
          </w:tcPr>
          <w:p w:rsidR="003B5AB9" w:rsidRPr="00A478B3" w:rsidRDefault="003B5AB9" w:rsidP="00A478B3">
            <w:pPr>
              <w:ind w:firstLine="0"/>
              <w:jc w:val="center"/>
              <w:cnfStyle w:val="000000000000" w:firstRow="0" w:lastRow="0" w:firstColumn="0" w:lastColumn="0" w:oddVBand="0" w:evenVBand="0" w:oddHBand="0" w:evenHBand="0" w:firstRowFirstColumn="0" w:firstRowLastColumn="0" w:lastRowFirstColumn="0" w:lastRowLastColumn="0"/>
              <w:rPr>
                <w:i/>
                <w:sz w:val="24"/>
                <w:szCs w:val="24"/>
              </w:rPr>
            </w:pPr>
            <w:r w:rsidRPr="00A478B3">
              <w:rPr>
                <w:rFonts w:eastAsia="Times New Roman" w:cs="Times New Roman"/>
                <w:i/>
                <w:color w:val="000000"/>
                <w:sz w:val="24"/>
                <w:szCs w:val="24"/>
                <w:lang w:eastAsia="lv-LV"/>
              </w:rPr>
              <w:t>138%</w:t>
            </w:r>
          </w:p>
        </w:tc>
        <w:tc>
          <w:tcPr>
            <w:tcW w:w="1571" w:type="dxa"/>
            <w:vAlign w:val="center"/>
          </w:tcPr>
          <w:p w:rsidR="003B5AB9" w:rsidRPr="00A478B3" w:rsidRDefault="003B5AB9" w:rsidP="00A478B3">
            <w:pPr>
              <w:ind w:firstLine="0"/>
              <w:jc w:val="center"/>
              <w:cnfStyle w:val="000000000000" w:firstRow="0" w:lastRow="0" w:firstColumn="0" w:lastColumn="0" w:oddVBand="0" w:evenVBand="0" w:oddHBand="0" w:evenHBand="0" w:firstRowFirstColumn="0" w:firstRowLastColumn="0" w:lastRowFirstColumn="0" w:lastRowLastColumn="0"/>
              <w:rPr>
                <w:i/>
                <w:sz w:val="24"/>
                <w:szCs w:val="24"/>
              </w:rPr>
            </w:pPr>
            <w:r w:rsidRPr="00A478B3">
              <w:rPr>
                <w:rFonts w:eastAsia="Times New Roman" w:cs="Times New Roman"/>
                <w:i/>
                <w:color w:val="000000"/>
                <w:sz w:val="24"/>
                <w:szCs w:val="24"/>
                <w:lang w:eastAsia="lv-LV"/>
              </w:rPr>
              <w:t>-44%</w:t>
            </w:r>
          </w:p>
        </w:tc>
        <w:tc>
          <w:tcPr>
            <w:tcW w:w="1571" w:type="dxa"/>
            <w:vAlign w:val="center"/>
          </w:tcPr>
          <w:p w:rsidR="003B5AB9" w:rsidRPr="00A478B3" w:rsidRDefault="00A478B3" w:rsidP="00A478B3">
            <w:pPr>
              <w:ind w:firstLine="0"/>
              <w:jc w:val="center"/>
              <w:cnfStyle w:val="000000000000" w:firstRow="0" w:lastRow="0" w:firstColumn="0" w:lastColumn="0" w:oddVBand="0" w:evenVBand="0" w:oddHBand="0" w:evenHBand="0" w:firstRowFirstColumn="0" w:firstRowLastColumn="0" w:lastRowFirstColumn="0" w:lastRowLastColumn="0"/>
              <w:rPr>
                <w:i/>
                <w:sz w:val="24"/>
                <w:szCs w:val="24"/>
              </w:rPr>
            </w:pPr>
            <w:r w:rsidRPr="00A478B3">
              <w:rPr>
                <w:rFonts w:eastAsia="Times New Roman" w:cs="Times New Roman"/>
                <w:i/>
                <w:color w:val="000000"/>
                <w:sz w:val="24"/>
                <w:szCs w:val="24"/>
                <w:lang w:eastAsia="lv-LV"/>
              </w:rPr>
              <w:t>93%</w:t>
            </w:r>
          </w:p>
        </w:tc>
        <w:tc>
          <w:tcPr>
            <w:tcW w:w="1571" w:type="dxa"/>
            <w:vAlign w:val="center"/>
          </w:tcPr>
          <w:p w:rsidR="003B5AB9" w:rsidRPr="00A478B3" w:rsidRDefault="00A478B3" w:rsidP="00A478B3">
            <w:pPr>
              <w:ind w:firstLine="0"/>
              <w:jc w:val="center"/>
              <w:cnfStyle w:val="000000000000" w:firstRow="0" w:lastRow="0" w:firstColumn="0" w:lastColumn="0" w:oddVBand="0" w:evenVBand="0" w:oddHBand="0" w:evenHBand="0" w:firstRowFirstColumn="0" w:firstRowLastColumn="0" w:lastRowFirstColumn="0" w:lastRowLastColumn="0"/>
              <w:rPr>
                <w:i/>
                <w:sz w:val="24"/>
                <w:szCs w:val="24"/>
              </w:rPr>
            </w:pPr>
            <w:r w:rsidRPr="00A478B3">
              <w:rPr>
                <w:rFonts w:eastAsia="Times New Roman" w:cs="Times New Roman"/>
                <w:i/>
                <w:color w:val="000000"/>
                <w:sz w:val="24"/>
                <w:szCs w:val="24"/>
                <w:lang w:eastAsia="lv-LV"/>
              </w:rPr>
              <w:t>-45%</w:t>
            </w:r>
          </w:p>
        </w:tc>
      </w:tr>
    </w:tbl>
    <w:p w:rsidR="003B5AB9" w:rsidRDefault="003B5AB9" w:rsidP="00C27468"/>
    <w:p w:rsidR="00C367C6" w:rsidRDefault="00A478B3" w:rsidP="00C27468">
      <w:r>
        <w:t>Tabulas dati</w:t>
      </w:r>
      <w:r w:rsidR="00C27468">
        <w:t xml:space="preserve"> apliecina</w:t>
      </w:r>
      <w:r w:rsidR="00731A76">
        <w:t xml:space="preserve"> krīzes laikā</w:t>
      </w:r>
      <w:r w:rsidR="00C27468">
        <w:t xml:space="preserve"> samazinājušos uzņēmumu spēju veikt pastāvīgas investīcijas ražošanas līdzekļos</w:t>
      </w:r>
      <w:r w:rsidR="00731A76">
        <w:t>.</w:t>
      </w:r>
      <w:r w:rsidR="00C27468">
        <w:t xml:space="preserve"> </w:t>
      </w:r>
      <w:r w:rsidR="00731A76">
        <w:t>J</w:t>
      </w:r>
      <w:r w:rsidR="00C27468">
        <w:t xml:space="preserve">a </w:t>
      </w:r>
      <w:r w:rsidR="00C367C6">
        <w:t>laika periodā pēc 2013.gada netiks pagarināts 2006.gada 1.janvārī ieviestais atvieglojums (</w:t>
      </w:r>
      <w:r w:rsidR="00C367C6" w:rsidRPr="00E67A0E">
        <w:t>īpaša kārtība jaunu tehnoloģisko iekārtu nolietojuma norakstīšanai, pamatlīdzekļu iegādes vērtību reizinot ar koeficientu 1,5 (2007.gadā – 1,4, 2008.gadā – 1,3)</w:t>
      </w:r>
      <w:r w:rsidR="00C367C6">
        <w:t>) Uzņēmuma ienākuma nodoklim, ar mērķi veicināt</w:t>
      </w:r>
      <w:r w:rsidR="00C27468" w:rsidRPr="00E67A0E">
        <w:t xml:space="preserve"> investīcijas jaunu ražošanas tehnoloģisko iekārtu iegādē, tādējādi atļaujot izmaksās norakstīt lielāku vērtību nekā </w:t>
      </w:r>
      <w:r w:rsidR="00C27468" w:rsidRPr="00E67A0E">
        <w:lastRenderedPageBreak/>
        <w:t>pamatl</w:t>
      </w:r>
      <w:r w:rsidR="00731A76">
        <w:t>īdzekļa iegādes vērtība, Latvijas uzņēmumu konkurētspēja un iespēja celt to produktivitāti var tikt apdraudēta.</w:t>
      </w:r>
    </w:p>
    <w:p w:rsidR="00C27468" w:rsidRPr="00E67A0E" w:rsidRDefault="00C367C6" w:rsidP="00C27468">
      <w:r>
        <w:t>Jāatzīmē, ka p</w:t>
      </w:r>
      <w:r w:rsidR="00C27468" w:rsidRPr="00E67A0E">
        <w:t xml:space="preserve">ieeja apgrozāmajam un investīciju kapitāla finansējumam ir nozīmīgs faktors gan mazo un vidējo komersantu uzņēmējdarbības aktivitātes un konkurētspējas palielināšanai, uzņēmējdarbības uzsācējiem un inovatīviem, strauji augošiem uzņēmumiem, gan lieliem uzņēmumiem. </w:t>
      </w:r>
    </w:p>
    <w:p w:rsidR="00C27468" w:rsidRPr="00E67A0E" w:rsidRDefault="00C27468" w:rsidP="00C27468">
      <w:r w:rsidRPr="00E67A0E">
        <w:t>Ņemot vērā apsvērumus un identificētos šķēršļus, kas saitīti ar finansējuma trūkumu, jo īpaši apgrozāmiem līdzekļiem un salīdzinoši ilgstošu naudas apriti, ir nepieciešams veidot valsts stimulus finanšu pieejamības veicināšanai.</w:t>
      </w:r>
      <w:r w:rsidR="007E5DD7">
        <w:t xml:space="preserve"> Vienlaikus ir nepieciešams valsts atbalsta instruments, lai stimulētu lielu investīciju projektu ražošanas izvietošanai Latvijai attīstību, tādējādi veicinot saistīto uzņēmumu ekosistēmu izveidošanos, kas primāri notiek ap lieliem uzņēmumiem.</w:t>
      </w:r>
    </w:p>
    <w:p w:rsidR="00C27468" w:rsidRPr="00E67A0E" w:rsidRDefault="001B2A58" w:rsidP="00C27468">
      <w:r w:rsidRPr="00AD5865">
        <w:rPr>
          <w:rFonts w:eastAsia="MS Mincho"/>
          <w:b/>
          <w:bCs/>
          <w:szCs w:val="28"/>
          <w:lang w:eastAsia="ja-JP"/>
        </w:rPr>
        <w:t>Ņemot vērā identificētās problēmas un tirgus nepilnības, ir nepieciešams</w:t>
      </w:r>
      <w:r>
        <w:rPr>
          <w:rFonts w:eastAsia="MS Mincho"/>
          <w:b/>
          <w:bCs/>
          <w:szCs w:val="28"/>
          <w:lang w:eastAsia="ja-JP"/>
        </w:rPr>
        <w:t xml:space="preserve"> </w:t>
      </w:r>
      <w:r w:rsidRPr="00E81911">
        <w:rPr>
          <w:rFonts w:eastAsia="MS Mincho"/>
          <w:b/>
          <w:bCs/>
          <w:szCs w:val="28"/>
          <w:u w:val="single"/>
          <w:lang w:eastAsia="ja-JP"/>
        </w:rPr>
        <w:t>prioritāri</w:t>
      </w:r>
      <w:r>
        <w:rPr>
          <w:rFonts w:eastAsia="MS Mincho"/>
          <w:b/>
          <w:bCs/>
          <w:szCs w:val="28"/>
          <w:lang w:eastAsia="ja-JP"/>
        </w:rPr>
        <w:t xml:space="preserve"> īstenot sekojošas aktivitātes</w:t>
      </w:r>
      <w:r>
        <w:rPr>
          <w:rFonts w:eastAsia="MS Mincho"/>
          <w:bCs/>
          <w:szCs w:val="28"/>
          <w:lang w:eastAsia="ja-JP"/>
        </w:rPr>
        <w:t>:</w:t>
      </w:r>
    </w:p>
    <w:p w:rsidR="001B2A58" w:rsidRDefault="001B2A58" w:rsidP="001B2A58">
      <w:pPr>
        <w:pStyle w:val="ListParagraph"/>
        <w:numPr>
          <w:ilvl w:val="0"/>
          <w:numId w:val="39"/>
        </w:numPr>
      </w:pPr>
      <w:r w:rsidRPr="00E67A0E">
        <w:t>uz jaundibināto, mikro un mazo uzņēmumu nodrošināšanu ar nepieciešamo finansējumu, sniedzot atbalstu apgrozāmo līdzekļu nodrošināšanai vai sākotnējo investīciju veikšanai, aizdevumus ar granta elementu, k</w:t>
      </w:r>
      <w:r>
        <w:t>ā arī veicinot mikrokreditēšanu;</w:t>
      </w:r>
    </w:p>
    <w:p w:rsidR="00C47492" w:rsidRPr="00E67A0E" w:rsidRDefault="00C47492" w:rsidP="00C47492">
      <w:pPr>
        <w:pStyle w:val="ListParagraph"/>
        <w:numPr>
          <w:ilvl w:val="0"/>
          <w:numId w:val="39"/>
        </w:numPr>
      </w:pPr>
      <w:r w:rsidRPr="00E67A0E">
        <w:t>uz sēklas un uzsākšanas kapitāla instrumenta izveidi, nodrošinot paaugstināta riska komersantus ar finanšu līdzekļiem to agrīnās attīstības stadijā. Šādu kapitāla fondu izveidei nepieciešams piesaistīt ne vien publiskos resursus, bet arī privāto investoru līdzekļus;</w:t>
      </w:r>
    </w:p>
    <w:p w:rsidR="00C27468" w:rsidRPr="00E67A0E" w:rsidRDefault="00C27468" w:rsidP="00C27468">
      <w:pPr>
        <w:pStyle w:val="ListParagraph"/>
        <w:numPr>
          <w:ilvl w:val="0"/>
          <w:numId w:val="39"/>
        </w:numPr>
      </w:pPr>
      <w:r w:rsidRPr="00E67A0E">
        <w:t>uz aizdevumu garantiju izsniegšanas turpināšanu. Nepieciešams nodrošināt komersantam iespēju saņemt kredītresursus komercdarbības veikšanai situācijās, kad komersanta rīcībā esošais nodrošinājums nav pietiekošs kredītresursu piesaistei nepieciešamā apjomā;</w:t>
      </w:r>
    </w:p>
    <w:p w:rsidR="00C367C6" w:rsidRDefault="00C367C6" w:rsidP="00C367C6">
      <w:pPr>
        <w:pStyle w:val="ListParagraph"/>
        <w:numPr>
          <w:ilvl w:val="0"/>
          <w:numId w:val="39"/>
        </w:numPr>
      </w:pPr>
      <w:r>
        <w:t xml:space="preserve">uz UIN atvieglojuma </w:t>
      </w:r>
      <w:r w:rsidRPr="00C367C6">
        <w:t>ražošanas veicināšanai, iegādājoties jaunas ražošanas iekārtas</w:t>
      </w:r>
      <w:r w:rsidR="00D152D9">
        <w:t>,</w:t>
      </w:r>
      <w:r w:rsidRPr="00C367C6">
        <w:t xml:space="preserve"> </w:t>
      </w:r>
      <w:r w:rsidR="007A6892">
        <w:t>pagarināšanu</w:t>
      </w:r>
      <w:r w:rsidR="00C47492">
        <w:t>.</w:t>
      </w:r>
    </w:p>
    <w:p w:rsidR="001B2A58" w:rsidRDefault="001B2A58" w:rsidP="001B2A58">
      <w:r w:rsidRPr="001B2A58">
        <w:rPr>
          <w:b/>
          <w:lang w:eastAsia="ja-JP"/>
        </w:rPr>
        <w:t>Papildus prioritāri veicamām aktivitātēm īstenojamas ir sekojošas rīcības</w:t>
      </w:r>
      <w:r>
        <w:rPr>
          <w:lang w:eastAsia="ja-JP"/>
        </w:rPr>
        <w:t>:</w:t>
      </w:r>
    </w:p>
    <w:p w:rsidR="001B2A58" w:rsidRDefault="00C367C6" w:rsidP="001B2A58">
      <w:pPr>
        <w:pStyle w:val="ListParagraph"/>
        <w:numPr>
          <w:ilvl w:val="0"/>
          <w:numId w:val="39"/>
        </w:numPr>
      </w:pPr>
      <w:r>
        <w:t xml:space="preserve">uz </w:t>
      </w:r>
      <w:r w:rsidRPr="00E67A0E">
        <w:t>UIN atlaide</w:t>
      </w:r>
      <w:r>
        <w:t>s</w:t>
      </w:r>
      <w:r w:rsidRPr="00E67A0E">
        <w:t xml:space="preserve"> par lielajiem investīciju projektiem</w:t>
      </w:r>
      <w:r>
        <w:t xml:space="preserve"> pagarināšanu</w:t>
      </w:r>
      <w:r w:rsidR="00C47492">
        <w:t>;</w:t>
      </w:r>
    </w:p>
    <w:p w:rsidR="001B2A58" w:rsidRPr="00E67A0E" w:rsidRDefault="001B2A58" w:rsidP="001B2A58">
      <w:pPr>
        <w:pStyle w:val="ListParagraph"/>
        <w:numPr>
          <w:ilvl w:val="0"/>
          <w:numId w:val="39"/>
        </w:numPr>
      </w:pPr>
      <w:r w:rsidRPr="00E67A0E">
        <w:t>uz riska kapitāla veida instrumentu radīšanu</w:t>
      </w:r>
      <w:r w:rsidR="00D152D9">
        <w:t xml:space="preserve"> (piesaistot privāto investoru līdzekļus)</w:t>
      </w:r>
      <w:r w:rsidRPr="00E67A0E">
        <w:t>, kas stimulētu investīcijas uzņēmumu attīstībā un darbības paplašināšanā.</w:t>
      </w:r>
    </w:p>
    <w:p w:rsidR="00C367C6" w:rsidRPr="00E67A0E" w:rsidRDefault="00C367C6" w:rsidP="001B2A58">
      <w:pPr>
        <w:pStyle w:val="ListParagraph"/>
        <w:ind w:left="1174" w:firstLine="0"/>
      </w:pPr>
    </w:p>
    <w:p w:rsidR="00581B1D" w:rsidRPr="00E67A0E" w:rsidRDefault="006A2A7B" w:rsidP="00812CD8">
      <w:pPr>
        <w:pStyle w:val="Heading2"/>
      </w:pPr>
      <w:bookmarkStart w:id="34" w:name="_Toc341951836"/>
      <w:bookmarkStart w:id="35" w:name="_Toc354732579"/>
      <w:bookmarkEnd w:id="30"/>
      <w:r>
        <w:t>7</w:t>
      </w:r>
      <w:r w:rsidR="00CA3F8A" w:rsidRPr="00E67A0E">
        <w:t>.</w:t>
      </w:r>
      <w:r w:rsidR="00C83A7C">
        <w:t>4</w:t>
      </w:r>
      <w:r w:rsidR="00812CD8" w:rsidRPr="00E67A0E">
        <w:t>.</w:t>
      </w:r>
      <w:r w:rsidR="00D67F87" w:rsidRPr="00E67A0E">
        <w:t xml:space="preserve"> </w:t>
      </w:r>
      <w:bookmarkEnd w:id="34"/>
      <w:r w:rsidR="00253EA4" w:rsidRPr="00253EA4">
        <w:t>Inovācijas kapacitātes paaugstināšana</w:t>
      </w:r>
      <w:bookmarkEnd w:id="35"/>
    </w:p>
    <w:p w:rsidR="006A1AFE" w:rsidRDefault="006A1AFE" w:rsidP="003F0533">
      <w:pPr>
        <w:ind w:firstLine="720"/>
      </w:pPr>
      <w:r w:rsidRPr="006A1AFE">
        <w:t xml:space="preserve">Inovācija ir būtisks priekšnosacījums, lai nodrošinātu uzņēmumu izaugsmi un konkurētspēju. Saskaņā ar GCI Latvija vēl aizvien atrodas to valstu grupā, kuru ekonomikas virzītājspēks ir produktivitāte, nevis inovācija. Pēc 20112013.gada Inovāciju progresa ziņojuma (Innovation Union Scoreboard 20112013) datiem Latvija ir ierindojas 25. vietā ES inovāciju jomā starp 27 ES dalībvalstīm pēdējā vietā ES inovāciju jomā. Latvijas rādītāji ir zemi gan pētniecības kapacitātes un ekselences, gan uzņēmumu un pētniecības sektoru </w:t>
      </w:r>
      <w:r w:rsidRPr="006A1AFE">
        <w:lastRenderedPageBreak/>
        <w:t xml:space="preserve">sadarbības, gan publiskā un privātā sektora investīciju un inovācijas aktivitātes jomās. Latvijā ir viens no zemākajiem finansējumiem pētniecībai un attīstībai, kas 2011.gadā bija 0,70% no IKP (salīdzinājumam – vidēji ES 2,0% no IKP 2010.gadā). Privātā sektora finansējums pētniecībai un attīstībai 2011.gadā bija tikai 25% no kopējā pētniecības un attīstības finansējuma. Latvijas biznesa struktūru galvenokārt veido mazie un vidējie uzņēmumi, kuriem ir ierobežota inovācijas kapacitāte un saskaņā ar Eurostat datiem laika posmā no 20062008. līdz 20082010.gadam vidēji tikai 2429,39% no uzņēmumiem bija inovatīvi. Pēdējos gados pieaudzis to uzņēmumu skaits, kas veikuši tieši ne-tehnoloģiskās inovācijas un 2008. līdz 2010.gadam šādu uzņēmumu īpatsvars bija 43,9%.  </w:t>
      </w:r>
      <w:r w:rsidR="003F0533">
        <w:t xml:space="preserve"> </w:t>
      </w:r>
    </w:p>
    <w:p w:rsidR="00513847" w:rsidRPr="00022DA6" w:rsidRDefault="003F0533" w:rsidP="003F0533">
      <w:pPr>
        <w:ind w:firstLine="720"/>
      </w:pPr>
      <w:r>
        <w:t xml:space="preserve">Kā galvenos šķēršļus inovācijas ieviešanai uzņēmumi norāda pārāk augstās inovācijas izmaksas un pašu līdzekļu trūkumu, gan ierobežotas iespējas piesaistīt finansējumu ārpus uzņēmuma. Lai sekmētu privātā sektora ieguldījumus attīstībā </w:t>
      </w:r>
      <w:r w:rsidRPr="00022DA6">
        <w:t xml:space="preserve">šobrīd likumā „Par uzņēmumu ienākuma nodokli” ir paredzēts atvieglojums nemateriālo ieguldījumu, kuru rezultātā reģistrēta preču zīme vai patents, izveidošanai vai iegādei, pirms ieguldījumu norakstīšanas piemērojot vērtību palielinošu koeficientu 1,5. </w:t>
      </w:r>
      <w:r>
        <w:t>Tomēr ņ</w:t>
      </w:r>
      <w:r w:rsidRPr="00E67A0E">
        <w:t xml:space="preserve">emot vērā sarežģīto uzskaiti un </w:t>
      </w:r>
      <w:r>
        <w:t>obligāto prasību</w:t>
      </w:r>
      <w:r w:rsidRPr="00E67A0E">
        <w:t xml:space="preserve">, ka pētījuma rezultātā </w:t>
      </w:r>
      <w:r>
        <w:t>jābūt</w:t>
      </w:r>
      <w:r w:rsidRPr="00E67A0E">
        <w:t xml:space="preserve"> radīt</w:t>
      </w:r>
      <w:r>
        <w:t>am</w:t>
      </w:r>
      <w:r w:rsidRPr="00E67A0E">
        <w:t xml:space="preserve"> patentējam</w:t>
      </w:r>
      <w:r>
        <w:t>a</w:t>
      </w:r>
      <w:r w:rsidRPr="00E67A0E">
        <w:t xml:space="preserve"> izgudrojum</w:t>
      </w:r>
      <w:r>
        <w:t>am</w:t>
      </w:r>
      <w:r w:rsidRPr="00E67A0E">
        <w:t xml:space="preserve"> </w:t>
      </w:r>
      <w:r>
        <w:t xml:space="preserve">uzņēmumi šo atvieglojumi </w:t>
      </w:r>
      <w:r w:rsidRPr="00022DA6">
        <w:t>tik pat kā neizmanto (pēc Finanšu ministrijas datiem 2011.gadā izmantojuši 37 uzņēmumi un šī atvieglojuma kopējais apjoms bijis 250,0 tūkst lati).</w:t>
      </w:r>
    </w:p>
    <w:p w:rsidR="003B3DD3" w:rsidRPr="003B3DD3" w:rsidRDefault="003B3DD3" w:rsidP="003B3DD3">
      <w:pPr>
        <w:ind w:firstLine="720"/>
        <w:rPr>
          <w:rFonts w:eastAsia="Calibri" w:cs="Times New Roman"/>
          <w:szCs w:val="28"/>
        </w:rPr>
      </w:pPr>
      <w:r w:rsidRPr="003B3DD3">
        <w:rPr>
          <w:rFonts w:eastAsia="Calibri" w:cs="Times New Roman"/>
          <w:szCs w:val="28"/>
        </w:rPr>
        <w:t>Baltoties uz OECD ilggadējo pieredzi reģionu inovācijas kapacitātes izvērtēšanā un politikas veidošanā</w:t>
      </w:r>
      <w:r w:rsidRPr="003B3DD3">
        <w:rPr>
          <w:rFonts w:eastAsia="Calibri" w:cs="Times New Roman"/>
          <w:szCs w:val="28"/>
          <w:vertAlign w:val="superscript"/>
        </w:rPr>
        <w:footnoteReference w:id="21"/>
      </w:r>
      <w:r w:rsidRPr="003B3DD3">
        <w:rPr>
          <w:rFonts w:eastAsia="Calibri" w:cs="Times New Roman"/>
          <w:szCs w:val="28"/>
        </w:rPr>
        <w:t xml:space="preserve">  Eiropas Komisija dalībvalstīm izstrādājot lietpratīgas specializācijas stratēģiju inovācijas sekmēšanai iesaka izvēlēties kādu no sekojošām attīstības stratēģijām:</w:t>
      </w:r>
    </w:p>
    <w:p w:rsidR="003B3DD3" w:rsidRPr="003B3DD3" w:rsidRDefault="003B3DD3" w:rsidP="003B3DD3">
      <w:pPr>
        <w:pStyle w:val="ListParagraph"/>
        <w:numPr>
          <w:ilvl w:val="0"/>
          <w:numId w:val="50"/>
        </w:numPr>
        <w:rPr>
          <w:szCs w:val="28"/>
        </w:rPr>
      </w:pPr>
      <w:r w:rsidRPr="003B3DD3">
        <w:rPr>
          <w:szCs w:val="28"/>
        </w:rPr>
        <w:t xml:space="preserve">Izaugsmes balstoties uz esošajām priekšrocībām (zinātnes vai tehnoloģiju virzīta izaugsme); </w:t>
      </w:r>
    </w:p>
    <w:p w:rsidR="003B3DD3" w:rsidRPr="003B3DD3" w:rsidRDefault="003B3DD3" w:rsidP="003B3DD3">
      <w:pPr>
        <w:pStyle w:val="ListParagraph"/>
        <w:numPr>
          <w:ilvl w:val="0"/>
          <w:numId w:val="50"/>
        </w:numPr>
        <w:rPr>
          <w:szCs w:val="28"/>
        </w:rPr>
      </w:pPr>
      <w:r w:rsidRPr="003B3DD3">
        <w:rPr>
          <w:szCs w:val="28"/>
        </w:rPr>
        <w:t xml:space="preserve">Atbalsts ekonomikas transformācijai (jaunu izaugsmes jomu identificēšana un attīstīšana). </w:t>
      </w:r>
    </w:p>
    <w:p w:rsidR="003B3DD3" w:rsidRPr="003B3DD3" w:rsidRDefault="003B3DD3" w:rsidP="003B3DD3">
      <w:pPr>
        <w:pStyle w:val="ListParagraph"/>
        <w:numPr>
          <w:ilvl w:val="0"/>
          <w:numId w:val="50"/>
        </w:numPr>
        <w:rPr>
          <w:szCs w:val="28"/>
        </w:rPr>
      </w:pPr>
      <w:r w:rsidRPr="003B3DD3">
        <w:rPr>
          <w:szCs w:val="28"/>
        </w:rPr>
        <w:t>Panākšana (</w:t>
      </w:r>
      <w:r w:rsidRPr="003B3DD3">
        <w:rPr>
          <w:i/>
          <w:szCs w:val="28"/>
        </w:rPr>
        <w:t>Catching up</w:t>
      </w:r>
      <w:r w:rsidRPr="003B3DD3">
        <w:rPr>
          <w:szCs w:val="28"/>
        </w:rPr>
        <w:t>) jeb virzība uz zināšanām balstītu spēju attīstību.</w:t>
      </w:r>
    </w:p>
    <w:p w:rsidR="003B3DD3" w:rsidRPr="003B3DD3" w:rsidRDefault="003B3DD3" w:rsidP="003B3DD3">
      <w:pPr>
        <w:rPr>
          <w:szCs w:val="28"/>
        </w:rPr>
      </w:pPr>
      <w:r w:rsidRPr="003B3DD3">
        <w:rPr>
          <w:rFonts w:eastAsia="Calibri" w:cs="Times New Roman"/>
          <w:szCs w:val="28"/>
        </w:rPr>
        <w:t>Ņemot vērā Latvijas inovācijas sniegumu un, ka tautsaimniecībā aizvien dominē zemo un vidējo tehnoloģiju ražošanas un pakalpojumu nozares inovācijas politikas galvenajiem stratēģiskajiem rīcības virzieniem būt jābūt:</w:t>
      </w:r>
    </w:p>
    <w:p w:rsidR="003B3DD3" w:rsidRPr="003B3DD3" w:rsidRDefault="003B3DD3" w:rsidP="003B3DD3">
      <w:pPr>
        <w:numPr>
          <w:ilvl w:val="0"/>
          <w:numId w:val="49"/>
        </w:numPr>
        <w:spacing w:after="200" w:line="276" w:lineRule="auto"/>
        <w:contextualSpacing/>
        <w:jc w:val="left"/>
        <w:rPr>
          <w:rFonts w:eastAsia="Calibri" w:cs="Times New Roman"/>
          <w:szCs w:val="28"/>
        </w:rPr>
      </w:pPr>
      <w:r w:rsidRPr="003B3DD3">
        <w:rPr>
          <w:rFonts w:eastAsia="Calibri" w:cs="Times New Roman"/>
          <w:szCs w:val="28"/>
        </w:rPr>
        <w:t xml:space="preserve">virzīt tehnoloģiju attīstību un ražošanu uz augstākas pievienotās vērtības jomām, </w:t>
      </w:r>
    </w:p>
    <w:p w:rsidR="003B3DD3" w:rsidRPr="003B3DD3" w:rsidRDefault="003B3DD3" w:rsidP="003B3DD3">
      <w:pPr>
        <w:numPr>
          <w:ilvl w:val="0"/>
          <w:numId w:val="49"/>
        </w:numPr>
        <w:spacing w:after="200" w:line="276" w:lineRule="auto"/>
        <w:contextualSpacing/>
        <w:jc w:val="left"/>
        <w:rPr>
          <w:rFonts w:eastAsia="Calibri" w:cs="Times New Roman"/>
          <w:szCs w:val="28"/>
        </w:rPr>
      </w:pPr>
      <w:r w:rsidRPr="003B3DD3">
        <w:rPr>
          <w:rFonts w:eastAsia="Calibri" w:cs="Times New Roman"/>
          <w:szCs w:val="28"/>
        </w:rPr>
        <w:t xml:space="preserve">sekmēt zināšanu absorbciju un dinamisku uzņēmējdarbību. </w:t>
      </w:r>
    </w:p>
    <w:p w:rsidR="006A1AFE" w:rsidRPr="003B3DD3" w:rsidRDefault="003B3DD3" w:rsidP="006A1AFE">
      <w:pPr>
        <w:ind w:firstLine="720"/>
        <w:rPr>
          <w:szCs w:val="28"/>
        </w:rPr>
      </w:pPr>
      <w:r w:rsidRPr="003B3DD3">
        <w:rPr>
          <w:szCs w:val="28"/>
        </w:rPr>
        <w:t>Būtiski izveidot sabalansētu un papildinošu atbalsta instrumentu kopumu, kas  ir vērsts gan uz zināšanu radīšanu, izplatīšanu un izmantošanu.</w:t>
      </w:r>
      <w:r w:rsidR="006A1AFE">
        <w:rPr>
          <w:szCs w:val="28"/>
        </w:rPr>
        <w:t xml:space="preserve"> Vienlaicīgi nepieciešams veicināt ne tikai tehnoloģisko inovāciju, bet arī netehnoloģisko inovāciju attīstību un inovāciju pakalpojumu jomā.</w:t>
      </w:r>
    </w:p>
    <w:p w:rsidR="00BD5A2E" w:rsidRPr="003B3DD3" w:rsidRDefault="00BD5A2E" w:rsidP="00513847">
      <w:pPr>
        <w:rPr>
          <w:szCs w:val="28"/>
        </w:rPr>
      </w:pPr>
      <w:r w:rsidRPr="003B3DD3">
        <w:rPr>
          <w:szCs w:val="28"/>
        </w:rPr>
        <w:lastRenderedPageBreak/>
        <w:t>Inovācijas sistēmā ir identificējami četri vienlīdz svarīgi elementi</w:t>
      </w:r>
      <w:r w:rsidR="00C51532" w:rsidRPr="003B3DD3">
        <w:rPr>
          <w:szCs w:val="28"/>
        </w:rPr>
        <w:t xml:space="preserve"> – zināšanu kapacitāte, inovāciju piedāvājums, inovāciju pieprasījums, pārneses sistēma.</w:t>
      </w:r>
    </w:p>
    <w:p w:rsidR="00C51532" w:rsidRPr="00E67A0E" w:rsidRDefault="00CA2C66" w:rsidP="00C51532">
      <w:pPr>
        <w:jc w:val="right"/>
      </w:pPr>
      <w:r>
        <w:t>7</w:t>
      </w:r>
      <w:r w:rsidR="00C51532" w:rsidRPr="00E67A0E">
        <w:t>.attēls</w:t>
      </w:r>
    </w:p>
    <w:p w:rsidR="00C51532" w:rsidRPr="00E67A0E" w:rsidRDefault="00C51532" w:rsidP="00C51532">
      <w:pPr>
        <w:jc w:val="center"/>
        <w:rPr>
          <w:b/>
        </w:rPr>
      </w:pPr>
      <w:r w:rsidRPr="00E67A0E">
        <w:rPr>
          <w:b/>
        </w:rPr>
        <w:t>Inovāciju sistēmas svarīgākie elementi</w:t>
      </w:r>
    </w:p>
    <w:p w:rsidR="00BD5A2E" w:rsidRPr="00E67A0E" w:rsidRDefault="00BD5A2E" w:rsidP="0091402C">
      <w:pPr>
        <w:ind w:firstLine="0"/>
      </w:pPr>
      <w:r w:rsidRPr="00E67A0E">
        <w:rPr>
          <w:noProof/>
          <w:lang w:eastAsia="lv-LV"/>
        </w:rPr>
        <w:drawing>
          <wp:inline distT="0" distB="0" distL="0" distR="0" wp14:anchorId="5BB68A89" wp14:editId="04ED7E5E">
            <wp:extent cx="5813947" cy="2920621"/>
            <wp:effectExtent l="0" t="0" r="0"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151010" w:rsidRDefault="001B093B" w:rsidP="00151010">
      <w:r w:rsidRPr="00E67A0E">
        <w:t>Ņemot vērā šo elementu savstarpējo mijiedarbību, ir vienlīdz svarīgi izstrādāt risinājumus katra  šī elementa attīstībai. Attiecībā uz zināšanu kapacitāti ie</w:t>
      </w:r>
      <w:r w:rsidR="0058335A">
        <w:t>teicami risinājumi ir minēti 7</w:t>
      </w:r>
      <w:r w:rsidR="00EB640D">
        <w:t>.1</w:t>
      </w:r>
      <w:r w:rsidRPr="00E67A0E">
        <w:t>.</w:t>
      </w:r>
      <w:r w:rsidR="00EB640D">
        <w:t>apakš</w:t>
      </w:r>
      <w:r w:rsidRPr="00E67A0E">
        <w:t>sadaļā.</w:t>
      </w:r>
    </w:p>
    <w:p w:rsidR="00FF698F" w:rsidRDefault="006503C0" w:rsidP="00513847">
      <w:r w:rsidRPr="00E67A0E">
        <w:t xml:space="preserve">Tāpēc, ņemot vērā </w:t>
      </w:r>
      <w:r w:rsidR="00513847" w:rsidRPr="00E67A0E">
        <w:t>identificētos šķēršļus</w:t>
      </w:r>
      <w:r w:rsidRPr="00E67A0E">
        <w:t xml:space="preserve">, </w:t>
      </w:r>
      <w:r w:rsidR="00513847" w:rsidRPr="00E67A0E">
        <w:t>analīzes secinājumus</w:t>
      </w:r>
      <w:r w:rsidRPr="00E67A0E">
        <w:t xml:space="preserve"> un inovācijas sistēmas elementu vienlīdz svarīgo attīstību,</w:t>
      </w:r>
      <w:r w:rsidR="00513847" w:rsidRPr="00E67A0E">
        <w:t xml:space="preserve"> ir nepieciešams veidot valsts atbalsta instrumentus, kas pastiprina Latvijas stiprās puses inovācijas jomā. </w:t>
      </w:r>
    </w:p>
    <w:p w:rsidR="003F0533" w:rsidRPr="00E67A0E" w:rsidRDefault="003F0533" w:rsidP="003F0533">
      <w:pPr>
        <w:rPr>
          <w:rFonts w:eastAsia="MS Mincho"/>
          <w:bCs/>
          <w:szCs w:val="28"/>
          <w:lang w:eastAsia="ja-JP"/>
        </w:rPr>
      </w:pPr>
      <w:r w:rsidRPr="00AD5865">
        <w:rPr>
          <w:rFonts w:eastAsia="MS Mincho"/>
          <w:b/>
          <w:bCs/>
          <w:szCs w:val="28"/>
          <w:lang w:eastAsia="ja-JP"/>
        </w:rPr>
        <w:t>Ņemot vērā identificētās problēmas un tirgus nepilnības</w:t>
      </w:r>
      <w:r w:rsidRPr="00CC119F">
        <w:rPr>
          <w:rFonts w:eastAsia="Times New Roman" w:cs="Calibri"/>
          <w:color w:val="000000"/>
          <w:szCs w:val="24"/>
        </w:rPr>
        <w:t xml:space="preserve"> </w:t>
      </w:r>
      <w:r w:rsidRPr="00E67A0E">
        <w:rPr>
          <w:rFonts w:eastAsia="Times New Roman" w:cs="Calibri"/>
          <w:color w:val="000000"/>
          <w:szCs w:val="24"/>
        </w:rPr>
        <w:t>komersantu pētniecības un inovācijas kapacitātes paaugstināšan</w:t>
      </w:r>
      <w:r>
        <w:rPr>
          <w:rFonts w:eastAsia="Times New Roman" w:cs="Calibri"/>
          <w:color w:val="000000"/>
          <w:szCs w:val="24"/>
        </w:rPr>
        <w:t>ai</w:t>
      </w:r>
      <w:r w:rsidRPr="00AD5865">
        <w:rPr>
          <w:rFonts w:eastAsia="MS Mincho"/>
          <w:b/>
          <w:bCs/>
          <w:szCs w:val="28"/>
          <w:lang w:eastAsia="ja-JP"/>
        </w:rPr>
        <w:t>, ir nepieciešams</w:t>
      </w:r>
      <w:r>
        <w:rPr>
          <w:rFonts w:eastAsia="MS Mincho"/>
          <w:b/>
          <w:bCs/>
          <w:szCs w:val="28"/>
          <w:lang w:eastAsia="ja-JP"/>
        </w:rPr>
        <w:t xml:space="preserve"> </w:t>
      </w:r>
      <w:r w:rsidRPr="00E81911">
        <w:rPr>
          <w:rFonts w:eastAsia="MS Mincho"/>
          <w:b/>
          <w:bCs/>
          <w:szCs w:val="28"/>
          <w:u w:val="single"/>
          <w:lang w:eastAsia="ja-JP"/>
        </w:rPr>
        <w:t>prioritāri</w:t>
      </w:r>
      <w:r>
        <w:rPr>
          <w:rFonts w:eastAsia="MS Mincho"/>
          <w:b/>
          <w:bCs/>
          <w:szCs w:val="28"/>
          <w:lang w:eastAsia="ja-JP"/>
        </w:rPr>
        <w:t xml:space="preserve"> īstenot sekojošas aktivitātes</w:t>
      </w:r>
      <w:r>
        <w:rPr>
          <w:rFonts w:eastAsia="MS Mincho"/>
          <w:bCs/>
          <w:szCs w:val="28"/>
          <w:lang w:eastAsia="ja-JP"/>
        </w:rPr>
        <w:t>:</w:t>
      </w:r>
    </w:p>
    <w:p w:rsidR="00BD6DEB" w:rsidRPr="00C47492" w:rsidRDefault="00D152D9" w:rsidP="00BD6DEB">
      <w:pPr>
        <w:pStyle w:val="ListParagraph"/>
        <w:numPr>
          <w:ilvl w:val="0"/>
          <w:numId w:val="42"/>
        </w:numPr>
        <w:kinsoku w:val="0"/>
        <w:overflowPunct w:val="0"/>
        <w:ind w:left="1560" w:hanging="426"/>
        <w:textAlignment w:val="baseline"/>
        <w:rPr>
          <w:rFonts w:eastAsia="Times New Roman" w:cs="Calibri"/>
          <w:color w:val="000000"/>
          <w:szCs w:val="24"/>
        </w:rPr>
      </w:pPr>
      <w:r>
        <w:rPr>
          <w:rFonts w:eastAsia="Times New Roman" w:cs="Calibri"/>
          <w:color w:val="000000"/>
          <w:szCs w:val="24"/>
        </w:rPr>
        <w:t xml:space="preserve">Efektīvas </w:t>
      </w:r>
      <w:r w:rsidR="00BD6DEB">
        <w:rPr>
          <w:rFonts w:eastAsia="Times New Roman" w:cs="Calibri"/>
          <w:color w:val="000000"/>
          <w:szCs w:val="24"/>
        </w:rPr>
        <w:t xml:space="preserve">UIN nodokļa atlaides pētniecības un attīstības izmaksām </w:t>
      </w:r>
      <w:r>
        <w:rPr>
          <w:rFonts w:eastAsia="Times New Roman" w:cs="Calibri"/>
          <w:color w:val="000000"/>
          <w:szCs w:val="24"/>
        </w:rPr>
        <w:t xml:space="preserve">ieviešana. Paredzot, ka </w:t>
      </w:r>
      <w:r w:rsidR="00BD6DEB">
        <w:t xml:space="preserve">noteiktas </w:t>
      </w:r>
      <w:r w:rsidR="00BD6DEB" w:rsidRPr="00E67A0E">
        <w:t>pētniecības un attīstības izmaksas tiek norakstītas trīskāršā ap</w:t>
      </w:r>
      <w:r>
        <w:t>mērā tajā gadā, kad tās radušās</w:t>
      </w:r>
      <w:r w:rsidR="00BD6DEB">
        <w:t>;</w:t>
      </w:r>
    </w:p>
    <w:p w:rsidR="003F0533" w:rsidRPr="00E67A0E" w:rsidRDefault="00D152D9" w:rsidP="003F0533">
      <w:pPr>
        <w:pStyle w:val="ListParagraph"/>
        <w:numPr>
          <w:ilvl w:val="0"/>
          <w:numId w:val="42"/>
        </w:numPr>
        <w:ind w:left="1560" w:hanging="426"/>
        <w:rPr>
          <w:rFonts w:eastAsia="MS Mincho"/>
          <w:bCs/>
          <w:szCs w:val="28"/>
          <w:lang w:eastAsia="ja-JP"/>
        </w:rPr>
      </w:pPr>
      <w:r>
        <w:rPr>
          <w:rFonts w:cs="Calibri"/>
          <w:color w:val="000000"/>
          <w:szCs w:val="24"/>
          <w:lang w:eastAsia="ja-JP"/>
        </w:rPr>
        <w:t>Sniedzot</w:t>
      </w:r>
      <w:r w:rsidR="003F0533" w:rsidRPr="00E67A0E">
        <w:rPr>
          <w:rFonts w:cs="Calibri"/>
          <w:color w:val="000000"/>
          <w:szCs w:val="24"/>
          <w:lang w:eastAsia="ja-JP"/>
        </w:rPr>
        <w:t xml:space="preserve"> atbalstu komersantiem  grantu veidā augsta riska iniciatīvām kā jaunu produktu un tehnoloģiju izstrādei, atbalstu piešķirot rūpnieciskajiem pētījumiem, eksperimentālām izstrādēm, rūpnieciskā dizaina izstrādei, rūpnieciskā īpašuma tiesību nostiprināšanai. Atbalstu piešķirot gan individuāliem gan partnerības projektiem. Savukārt atbalsts sākotnējiem ieguldījumiem, kas nepieciešami produktu un tehnoloģiju ieviešanai ražošanā galvenokārt tiktu atbalstīts finanšu instrumentu veidā (inovācijas pieprasījuma stiprināšana);</w:t>
      </w:r>
    </w:p>
    <w:p w:rsidR="003F0533" w:rsidRPr="003F0533" w:rsidRDefault="00BD6DEB" w:rsidP="003F0533">
      <w:pPr>
        <w:pStyle w:val="ListParagraph"/>
        <w:numPr>
          <w:ilvl w:val="0"/>
          <w:numId w:val="42"/>
        </w:numPr>
        <w:kinsoku w:val="0"/>
        <w:overflowPunct w:val="0"/>
        <w:ind w:left="1560" w:hanging="426"/>
        <w:textAlignment w:val="baseline"/>
        <w:rPr>
          <w:rFonts w:eastAsia="Times New Roman" w:cs="Calibri"/>
          <w:color w:val="000000"/>
          <w:szCs w:val="24"/>
        </w:rPr>
      </w:pPr>
      <w:r>
        <w:rPr>
          <w:rFonts w:cs="Calibri"/>
          <w:color w:val="000000"/>
          <w:szCs w:val="24"/>
          <w:lang w:eastAsia="ja-JP"/>
        </w:rPr>
        <w:t>A</w:t>
      </w:r>
      <w:r w:rsidR="003F0533" w:rsidRPr="003F0533">
        <w:rPr>
          <w:rFonts w:cs="Calibri"/>
          <w:color w:val="000000"/>
          <w:szCs w:val="24"/>
          <w:lang w:eastAsia="ja-JP"/>
        </w:rPr>
        <w:t xml:space="preserve">tbalsts jaunu inovatīvu uzņēmumu izveidei un attīstībai (ideju ģenerēšana, jauniešu iesaiste, ideju dzīvotspējas analīze u.c.), </w:t>
      </w:r>
      <w:r w:rsidR="003F0533" w:rsidRPr="003F0533">
        <w:rPr>
          <w:rFonts w:eastAsia="+mn-ea" w:cs="+mn-cs"/>
          <w:color w:val="000000"/>
          <w:szCs w:val="24"/>
        </w:rPr>
        <w:t xml:space="preserve">pilnveidojot biznesa uzsākšanas konsultatīvos (mentorings, koučings u.c.) un inkubācijas pakalpojumus. </w:t>
      </w:r>
      <w:r w:rsidR="003F0533" w:rsidRPr="003F0533">
        <w:rPr>
          <w:rFonts w:eastAsia="Times New Roman" w:cs="Calibri"/>
          <w:color w:val="000000"/>
          <w:szCs w:val="24"/>
        </w:rPr>
        <w:t>Nodrošināt un attīstīt specifiskus finanšu instrumentus (</w:t>
      </w:r>
      <w:r w:rsidR="003F0533" w:rsidRPr="003F0533">
        <w:rPr>
          <w:rFonts w:eastAsia="Times New Roman" w:cs="Calibri"/>
          <w:i/>
          <w:color w:val="000000"/>
          <w:szCs w:val="24"/>
        </w:rPr>
        <w:t>seed, start-up</w:t>
      </w:r>
      <w:r w:rsidR="003F0533" w:rsidRPr="003F0533">
        <w:rPr>
          <w:rFonts w:eastAsia="Times New Roman" w:cs="Calibri"/>
          <w:color w:val="000000"/>
          <w:szCs w:val="24"/>
        </w:rPr>
        <w:t xml:space="preserve"> fondi) inovatīvu un </w:t>
      </w:r>
      <w:r w:rsidR="003F0533" w:rsidRPr="003F0533">
        <w:rPr>
          <w:rFonts w:eastAsia="Times New Roman" w:cs="Calibri"/>
          <w:color w:val="000000"/>
          <w:szCs w:val="24"/>
        </w:rPr>
        <w:lastRenderedPageBreak/>
        <w:t>tehnoloģiski intensīvu uzņēmumu atbalstam to agrīnās attīstības fāzes posmā.</w:t>
      </w:r>
    </w:p>
    <w:p w:rsidR="003F0533" w:rsidRPr="00C47492" w:rsidRDefault="003F0533" w:rsidP="003F0533">
      <w:pPr>
        <w:kinsoku w:val="0"/>
        <w:overflowPunct w:val="0"/>
        <w:textAlignment w:val="baseline"/>
        <w:rPr>
          <w:rFonts w:eastAsia="Times New Roman" w:cs="Calibri"/>
          <w:color w:val="000000"/>
          <w:szCs w:val="24"/>
        </w:rPr>
      </w:pPr>
      <w:r w:rsidRPr="001B2A58">
        <w:rPr>
          <w:b/>
          <w:lang w:eastAsia="ja-JP"/>
        </w:rPr>
        <w:t>Papildus prioritāri veicamām aktivitātēm īstenojamas ir sekojošas rīcības</w:t>
      </w:r>
      <w:r>
        <w:rPr>
          <w:b/>
          <w:lang w:eastAsia="ja-JP"/>
        </w:rPr>
        <w:t>:</w:t>
      </w:r>
    </w:p>
    <w:p w:rsidR="003F0533" w:rsidRPr="00E67A0E" w:rsidRDefault="00BD6DEB" w:rsidP="002569BA">
      <w:pPr>
        <w:pStyle w:val="ListParagraph"/>
        <w:numPr>
          <w:ilvl w:val="0"/>
          <w:numId w:val="42"/>
        </w:numPr>
        <w:kinsoku w:val="0"/>
        <w:overflowPunct w:val="0"/>
        <w:textAlignment w:val="baseline"/>
        <w:rPr>
          <w:rFonts w:eastAsia="Times New Roman" w:cs="Calibri"/>
          <w:color w:val="000000"/>
          <w:szCs w:val="24"/>
        </w:rPr>
      </w:pPr>
      <w:r>
        <w:rPr>
          <w:rFonts w:eastAsia="Times New Roman" w:cs="Calibri"/>
          <w:color w:val="000000"/>
          <w:szCs w:val="24"/>
        </w:rPr>
        <w:t>P</w:t>
      </w:r>
      <w:r w:rsidR="003F0533" w:rsidRPr="00E67A0E">
        <w:rPr>
          <w:rFonts w:eastAsia="Times New Roman" w:cs="Calibri"/>
          <w:color w:val="000000"/>
          <w:szCs w:val="24"/>
        </w:rPr>
        <w:t>ētniecības bāzes  un izcilības attīstīb</w:t>
      </w:r>
      <w:r w:rsidR="003F0533">
        <w:rPr>
          <w:rFonts w:eastAsia="Times New Roman" w:cs="Calibri"/>
          <w:color w:val="000000"/>
          <w:szCs w:val="24"/>
        </w:rPr>
        <w:t>a</w:t>
      </w:r>
      <w:r w:rsidR="003F0533" w:rsidRPr="00E67A0E">
        <w:rPr>
          <w:rFonts w:eastAsia="Times New Roman" w:cs="Calibri"/>
          <w:color w:val="000000"/>
          <w:szCs w:val="24"/>
        </w:rPr>
        <w:t>, tajā skaitā nodrošinot  gan zinātnes infrastruktūras konsolidāciju un pilnveidošanu, gan arī cilvēkresursu attīstību un piesaisti pētniecībai (inovācijas piedāvājuma stiprināšana)</w:t>
      </w:r>
      <w:r w:rsidR="002569BA">
        <w:rPr>
          <w:rFonts w:eastAsia="Times New Roman" w:cs="Calibri"/>
          <w:color w:val="000000"/>
          <w:szCs w:val="24"/>
        </w:rPr>
        <w:t>, ietverot viedās specializācijas stratēģijā (</w:t>
      </w:r>
      <w:r w:rsidR="002569BA" w:rsidRPr="002569BA">
        <w:rPr>
          <w:rFonts w:eastAsia="Times New Roman" w:cs="Calibri"/>
          <w:color w:val="000000"/>
          <w:szCs w:val="24"/>
        </w:rPr>
        <w:t>„</w:t>
      </w:r>
      <w:r w:rsidR="002569BA" w:rsidRPr="002569BA">
        <w:rPr>
          <w:rFonts w:eastAsia="Times New Roman" w:cs="Calibri"/>
          <w:i/>
          <w:color w:val="000000"/>
          <w:szCs w:val="24"/>
        </w:rPr>
        <w:t>Smart specialization strategy</w:t>
      </w:r>
      <w:r w:rsidR="002569BA" w:rsidRPr="002569BA">
        <w:rPr>
          <w:rFonts w:eastAsia="Times New Roman" w:cs="Calibri"/>
          <w:color w:val="000000"/>
          <w:szCs w:val="24"/>
        </w:rPr>
        <w:t>”</w:t>
      </w:r>
      <w:r w:rsidR="002569BA">
        <w:rPr>
          <w:rFonts w:eastAsia="Times New Roman" w:cs="Calibri"/>
          <w:color w:val="000000"/>
          <w:szCs w:val="24"/>
        </w:rPr>
        <w:t>) noteiktos pamatprincipus un rīcības virzienus</w:t>
      </w:r>
      <w:r w:rsidR="003F0533" w:rsidRPr="00E67A0E">
        <w:rPr>
          <w:rFonts w:eastAsia="Times New Roman" w:cs="Calibri"/>
          <w:color w:val="000000"/>
          <w:szCs w:val="24"/>
        </w:rPr>
        <w:t>;</w:t>
      </w:r>
    </w:p>
    <w:p w:rsidR="00663D0D" w:rsidRPr="003B3DD3" w:rsidRDefault="00BD6DEB" w:rsidP="003F0533">
      <w:pPr>
        <w:pStyle w:val="ListParagraph"/>
        <w:numPr>
          <w:ilvl w:val="0"/>
          <w:numId w:val="42"/>
        </w:numPr>
        <w:kinsoku w:val="0"/>
        <w:overflowPunct w:val="0"/>
        <w:ind w:left="1560" w:hanging="426"/>
        <w:textAlignment w:val="baseline"/>
        <w:rPr>
          <w:rFonts w:eastAsia="Times New Roman" w:cs="Calibri"/>
          <w:color w:val="000000"/>
          <w:szCs w:val="28"/>
        </w:rPr>
      </w:pPr>
      <w:r>
        <w:rPr>
          <w:rFonts w:eastAsia="Times New Roman" w:cs="Calibri"/>
          <w:color w:val="000000"/>
          <w:szCs w:val="24"/>
        </w:rPr>
        <w:t>S</w:t>
      </w:r>
      <w:r w:rsidR="003F0533" w:rsidRPr="00E67A0E">
        <w:rPr>
          <w:rFonts w:eastAsia="Times New Roman" w:cs="Calibri"/>
          <w:color w:val="000000"/>
          <w:szCs w:val="24"/>
        </w:rPr>
        <w:t xml:space="preserve">adarbības un </w:t>
      </w:r>
      <w:r w:rsidR="003F0533" w:rsidRPr="00E67A0E">
        <w:rPr>
          <w:rFonts w:cs="Calibri"/>
          <w:color w:val="000000"/>
          <w:szCs w:val="24"/>
          <w:lang w:eastAsia="ja-JP"/>
        </w:rPr>
        <w:t>tehnoloģiju pārneses sistēmas attīstīb</w:t>
      </w:r>
      <w:r w:rsidR="003F0533">
        <w:rPr>
          <w:rFonts w:cs="Calibri"/>
          <w:color w:val="000000"/>
          <w:szCs w:val="24"/>
          <w:lang w:eastAsia="ja-JP"/>
        </w:rPr>
        <w:t>a</w:t>
      </w:r>
      <w:r w:rsidR="003F0533" w:rsidRPr="00E67A0E">
        <w:rPr>
          <w:rFonts w:cs="Calibri"/>
          <w:color w:val="000000"/>
          <w:szCs w:val="24"/>
          <w:lang w:eastAsia="ja-JP"/>
        </w:rPr>
        <w:t>, atbalstot privātā sektora un zinātnisko institūciju kopīgus pētījumus, kā arī sniedzot atbalstu mazajiem un vidējiem komersantiem pētniecības pakalpojumu iegādei. I</w:t>
      </w:r>
      <w:r w:rsidR="003F0533" w:rsidRPr="00E67A0E">
        <w:rPr>
          <w:rFonts w:eastAsia="Times New Roman" w:cs="Calibri"/>
          <w:color w:val="000000"/>
          <w:szCs w:val="24"/>
        </w:rPr>
        <w:t xml:space="preserve">zveidot vienotu tehnoloģiju pārneses platformu, kas nav piesaistīta konkrētai zinātniskai institūcijai, </w:t>
      </w:r>
      <w:r w:rsidR="003F0533" w:rsidRPr="003B3DD3">
        <w:rPr>
          <w:rFonts w:eastAsia="Times New Roman" w:cs="Calibri"/>
          <w:color w:val="000000"/>
          <w:szCs w:val="28"/>
        </w:rPr>
        <w:t>vienlaicīgi pilnveidojot rūpnieciskā īpašuma pārvaldību zinātniskajās institūcijās, papildinot un kombinējot tehnoloģijas pārneses atbalstu ar inkubācijas  un agrīnās fāzes finanšu instrumentiem (sadarbības inovācijas jomā stiprināšana)</w:t>
      </w:r>
      <w:r w:rsidR="003B3DD3" w:rsidRPr="003B3DD3">
        <w:rPr>
          <w:rFonts w:eastAsia="Times New Roman" w:cs="Calibri"/>
          <w:color w:val="000000"/>
          <w:szCs w:val="28"/>
        </w:rPr>
        <w:t>;</w:t>
      </w:r>
    </w:p>
    <w:p w:rsidR="003B3DD3" w:rsidRPr="003B3DD3" w:rsidRDefault="003B3DD3" w:rsidP="003F0533">
      <w:pPr>
        <w:pStyle w:val="ListParagraph"/>
        <w:numPr>
          <w:ilvl w:val="0"/>
          <w:numId w:val="42"/>
        </w:numPr>
        <w:kinsoku w:val="0"/>
        <w:overflowPunct w:val="0"/>
        <w:ind w:left="1560" w:hanging="426"/>
        <w:textAlignment w:val="baseline"/>
        <w:rPr>
          <w:rFonts w:eastAsia="Times New Roman" w:cs="Calibri"/>
          <w:color w:val="000000"/>
          <w:szCs w:val="28"/>
        </w:rPr>
      </w:pPr>
      <w:r w:rsidRPr="003B3DD3">
        <w:rPr>
          <w:rFonts w:eastAsia="Times New Roman" w:cs="Calibri"/>
          <w:color w:val="000000"/>
          <w:szCs w:val="28"/>
        </w:rPr>
        <w:t xml:space="preserve">Atbalsts radošo industriju attīstībai un sadarbībai ar tradicionālajam rūpniecības un pakalpojumu nozarēm, lai </w:t>
      </w:r>
      <w:r w:rsidRPr="003B3DD3">
        <w:rPr>
          <w:rFonts w:cs="Times New Roman"/>
          <w:szCs w:val="28"/>
        </w:rPr>
        <w:t>palielināt produktu un pakalpojumu vērtību</w:t>
      </w:r>
      <w:r>
        <w:rPr>
          <w:rFonts w:cs="Times New Roman"/>
          <w:szCs w:val="28"/>
        </w:rPr>
        <w:t>.</w:t>
      </w:r>
    </w:p>
    <w:p w:rsidR="00C47492" w:rsidRPr="00C47492" w:rsidRDefault="00C47492" w:rsidP="00C47492">
      <w:pPr>
        <w:kinsoku w:val="0"/>
        <w:overflowPunct w:val="0"/>
        <w:textAlignment w:val="baseline"/>
        <w:rPr>
          <w:rFonts w:eastAsia="Times New Roman" w:cs="Calibri"/>
          <w:color w:val="000000"/>
          <w:szCs w:val="24"/>
        </w:rPr>
      </w:pPr>
    </w:p>
    <w:p w:rsidR="00812CD8" w:rsidRPr="00E67A0E" w:rsidRDefault="006A2A7B" w:rsidP="00F11D0D">
      <w:pPr>
        <w:pStyle w:val="Heading2"/>
      </w:pPr>
      <w:bookmarkStart w:id="36" w:name="_Toc354732580"/>
      <w:r>
        <w:t>7</w:t>
      </w:r>
      <w:r w:rsidR="00F11D0D" w:rsidRPr="00E67A0E">
        <w:t>.</w:t>
      </w:r>
      <w:r w:rsidR="00C83A7C">
        <w:t>5</w:t>
      </w:r>
      <w:r w:rsidR="00F11D0D" w:rsidRPr="00E67A0E">
        <w:t>.</w:t>
      </w:r>
      <w:r w:rsidR="00D67F87" w:rsidRPr="00E67A0E">
        <w:t xml:space="preserve"> </w:t>
      </w:r>
      <w:r w:rsidR="008C4CA4" w:rsidRPr="00E67A0E">
        <w:t>Eksporta veicināšana</w:t>
      </w:r>
      <w:bookmarkEnd w:id="36"/>
    </w:p>
    <w:p w:rsidR="00F11D0D" w:rsidRPr="00E67A0E" w:rsidRDefault="008C4CA4" w:rsidP="00812CD8">
      <w:r w:rsidRPr="00E67A0E">
        <w:t xml:space="preserve">Lai uzņēmums sekmīgi  uzsāktu un īstenotu eksporta darījumus, tam ir jāiziet vairāki secīgi posmi: jānosaka savs eksporta potenciāls, jāizvēlas mērķa tirgus un jānoformulē uzņēmuma eksporta stratēģija. Daudzi Latvijas uzņēmumi sekmīgi darbojas un ir salīdzinoši konkurētspējīgi iekšējā tirgū, taču, uzsākot eksportu, saskaras ne tikai ar tādiem faktoriem kā konkurence ar ārvalstu vietējiem ražotājiem un citu importu, īstermiņa izmaksu pieaugums un investīciju nepieciešamību ražošanas jaudu palielināšanai vai produktu pielāgošanai mērķa tirgus prasībām, bet arī informācijas un zināšanu trūkumu par eksporta tirgiem, kā arī atšķirīgu uzņēmējdarbības vidi, kultūru un valodas barjeru. </w:t>
      </w:r>
    </w:p>
    <w:p w:rsidR="008C4CA4" w:rsidRPr="00E67A0E" w:rsidRDefault="001B093B" w:rsidP="00812CD8">
      <w:r w:rsidRPr="00E67A0E">
        <w:t xml:space="preserve">Latvijas eksportētāji pārsvarā ir mazie un vidējie uzņēmumi, </w:t>
      </w:r>
      <w:r w:rsidR="00974202" w:rsidRPr="00E67A0E">
        <w:t>līdz ar to</w:t>
      </w:r>
      <w:r w:rsidRPr="00E67A0E">
        <w:t xml:space="preserve"> īstenot mārketinga aktivitātes ārvalstīs daudziem no tiem ir sarežģīti, īpaši tas attiecas uz jauniem, ģeogrāfiski attāliem eksporta tirgiem. Eksporta tirgos, kuros tradicionāli pastāv augsta konkurence, prioritāras ir mārketinga un pārdošanas spējas, precīzi piegādes termiņi un efektīva loģistika. Lai gan uzņēmumi apzinās eksporta mārketinga pasākumu lietderību un nepieciešamību,  nepietiekošā informācija, zināšanas un pieejamais finansējums ir būtiski šķēršļi jaunu eksporta tirgu apgūšanai.</w:t>
      </w:r>
      <w:r w:rsidR="00974202" w:rsidRPr="00E67A0E">
        <w:t xml:space="preserve"> Vienlaikus ir identificēta uz eksporta veicināšanu tendētas sadarbības veidošanās, jeb klasteru veidošanās problemātika.</w:t>
      </w:r>
      <w:r w:rsidRPr="00E67A0E">
        <w:t xml:space="preserve"> Uz eksportu orientētas uzņēmējdarbības attīstībai nepieciešams valsts atbalsts tiešo eksporta atbalsta </w:t>
      </w:r>
      <w:r w:rsidRPr="00E67A0E">
        <w:lastRenderedPageBreak/>
        <w:t>pakalpojumu veidā (tirdzniecības misijas, kontaktbiržas, individuālās biznesa vizītes, dalība starptautiskajās izstādēs, informācija un konsultācijas, eksporta semināri).</w:t>
      </w:r>
    </w:p>
    <w:p w:rsidR="00F11D0D" w:rsidRPr="00E67A0E" w:rsidRDefault="00C47492" w:rsidP="00812CD8">
      <w:r w:rsidRPr="00AD5865">
        <w:rPr>
          <w:rFonts w:eastAsia="MS Mincho"/>
          <w:b/>
          <w:bCs/>
          <w:szCs w:val="28"/>
          <w:lang w:eastAsia="ja-JP"/>
        </w:rPr>
        <w:t>Ņemot vērā identificētās problēmas un tirgus nepilnības, ir nepieciešams</w:t>
      </w:r>
      <w:r>
        <w:rPr>
          <w:rFonts w:eastAsia="MS Mincho"/>
          <w:b/>
          <w:bCs/>
          <w:szCs w:val="28"/>
          <w:lang w:eastAsia="ja-JP"/>
        </w:rPr>
        <w:t xml:space="preserve"> </w:t>
      </w:r>
      <w:r w:rsidRPr="00E81911">
        <w:rPr>
          <w:rFonts w:eastAsia="MS Mincho"/>
          <w:b/>
          <w:bCs/>
          <w:szCs w:val="28"/>
          <w:u w:val="single"/>
          <w:lang w:eastAsia="ja-JP"/>
        </w:rPr>
        <w:t>prioritāri</w:t>
      </w:r>
      <w:r>
        <w:rPr>
          <w:rFonts w:eastAsia="MS Mincho"/>
          <w:b/>
          <w:bCs/>
          <w:szCs w:val="28"/>
          <w:lang w:eastAsia="ja-JP"/>
        </w:rPr>
        <w:t xml:space="preserve"> īstenot sekojošas aktivitātes</w:t>
      </w:r>
      <w:r w:rsidR="00E657D2" w:rsidRPr="00E67A0E">
        <w:t>:</w:t>
      </w:r>
    </w:p>
    <w:p w:rsidR="00C47492" w:rsidRPr="00E67A0E" w:rsidRDefault="007751B7" w:rsidP="00C47492">
      <w:pPr>
        <w:pStyle w:val="ListParagraph"/>
        <w:numPr>
          <w:ilvl w:val="0"/>
          <w:numId w:val="41"/>
        </w:numPr>
      </w:pPr>
      <w:r>
        <w:t xml:space="preserve">Uz eksporta veicināšanu orientētu nozares sadarbības </w:t>
      </w:r>
      <w:r w:rsidR="00C47492" w:rsidRPr="00E67A0E">
        <w:t>klasteru iniciatīvas atbalstīšan</w:t>
      </w:r>
      <w:r w:rsidR="00D152D9">
        <w:t>a</w:t>
      </w:r>
      <w:r w:rsidR="00C47492" w:rsidRPr="00E67A0E">
        <w:t xml:space="preserve"> ar mērķi koncentrēt zināšanas, spējas, prasmes un resursus ārējo tirgu apgūšanai;</w:t>
      </w:r>
    </w:p>
    <w:p w:rsidR="00F11D0D" w:rsidRPr="00E67A0E" w:rsidRDefault="00983020" w:rsidP="00FF698F">
      <w:pPr>
        <w:pStyle w:val="ListParagraph"/>
        <w:numPr>
          <w:ilvl w:val="0"/>
          <w:numId w:val="41"/>
        </w:numPr>
      </w:pPr>
      <w:r>
        <w:t xml:space="preserve">Uz </w:t>
      </w:r>
      <w:r w:rsidR="003B0F2F" w:rsidRPr="00E67A0E">
        <w:t>ārējo tirgu apgūšanas un sertifikācijas izmaksu kompensācij</w:t>
      </w:r>
      <w:r>
        <w:t>u</w:t>
      </w:r>
      <w:r w:rsidR="003B0F2F" w:rsidRPr="00E67A0E">
        <w:t>. Kā būtiskākie kritēriji ir nosakāmi, ka dalībnieki var būt biedrības, komersanti un nodibinājumi, savukārt atbalstāmās aktivitātes ir tādas, kas saistītas ar izmaksu kompensāciju dalībai izstādēs, nacionālos stendos, semināros, konferencēs, individuālās un valsts amatpersonu vizītēs, kā arī tādu izmaksu, kas saistītas ar produkta vai uzņēmuma akreditācijas, sertifikācijas, reģistrācijas izmaksu līdzfinansēšanu</w:t>
      </w:r>
      <w:r w:rsidR="00B146C4" w:rsidRPr="00E67A0E">
        <w:t>;</w:t>
      </w:r>
    </w:p>
    <w:p w:rsidR="00C47492" w:rsidRDefault="00983020" w:rsidP="00C47492">
      <w:pPr>
        <w:pStyle w:val="ListParagraph"/>
        <w:numPr>
          <w:ilvl w:val="0"/>
          <w:numId w:val="41"/>
        </w:numPr>
      </w:pPr>
      <w:r>
        <w:t xml:space="preserve">Uz </w:t>
      </w:r>
      <w:r w:rsidR="00C47492" w:rsidRPr="00E67A0E">
        <w:t>eksporta darījuma risku minimizēšanu, turpinot atbalsta programmas eksporta darījumiem, kas nodrošina eksporta darījumu risku segšanu. Kā galveno kritēriju nepieciešams noteikt, ka saņēmēji ir Latvijas izcelsmes preču ražojošie komersanti</w:t>
      </w:r>
      <w:r w:rsidR="00C47492">
        <w:t>.</w:t>
      </w:r>
    </w:p>
    <w:p w:rsidR="00C47492" w:rsidRPr="00E67A0E" w:rsidRDefault="00C47492" w:rsidP="00C47492">
      <w:pPr>
        <w:kinsoku w:val="0"/>
        <w:overflowPunct w:val="0"/>
        <w:textAlignment w:val="baseline"/>
      </w:pPr>
      <w:r w:rsidRPr="00C47492">
        <w:rPr>
          <w:b/>
          <w:lang w:eastAsia="ja-JP"/>
        </w:rPr>
        <w:t>Papildus prioritāri veicamām aktivitātēm</w:t>
      </w:r>
      <w:r>
        <w:rPr>
          <w:b/>
          <w:lang w:eastAsia="ja-JP"/>
        </w:rPr>
        <w:t xml:space="preserve"> īstenojama:</w:t>
      </w:r>
    </w:p>
    <w:p w:rsidR="00F11D0D" w:rsidRPr="00E67A0E" w:rsidRDefault="00F11D0D" w:rsidP="00FF698F">
      <w:pPr>
        <w:pStyle w:val="ListParagraph"/>
        <w:numPr>
          <w:ilvl w:val="0"/>
          <w:numId w:val="41"/>
        </w:numPr>
      </w:pPr>
      <w:r w:rsidRPr="00E67A0E">
        <w:t>valsts un nozaru pārstāvniecībās būtiskākajos eksporta tirgos stiprinā</w:t>
      </w:r>
      <w:r w:rsidR="00B146C4" w:rsidRPr="00E67A0E">
        <w:t>šanu, ietverot atbalstu LIAA pārstāvniecību tīkla turpmākai darbībai un kapacitātes celšanai, kā arī līdzfinansējot nozarei nozīmīg</w:t>
      </w:r>
      <w:r w:rsidR="002B4257" w:rsidRPr="00E67A0E">
        <w:t>as</w:t>
      </w:r>
      <w:r w:rsidR="00B146C4" w:rsidRPr="00E67A0E">
        <w:t xml:space="preserve"> </w:t>
      </w:r>
      <w:r w:rsidR="002B4257" w:rsidRPr="00E67A0E">
        <w:t>nozari pārstāvošo organizāciju</w:t>
      </w:r>
      <w:r w:rsidR="00B146C4" w:rsidRPr="00E67A0E">
        <w:t xml:space="preserve"> iniciatīv</w:t>
      </w:r>
      <w:r w:rsidR="00C47492">
        <w:t>as.</w:t>
      </w:r>
    </w:p>
    <w:p w:rsidR="00D67F87" w:rsidRPr="00E67A0E" w:rsidRDefault="006A2A7B" w:rsidP="00D67F87">
      <w:pPr>
        <w:pStyle w:val="Heading2"/>
      </w:pPr>
      <w:bookmarkStart w:id="37" w:name="_Toc354732581"/>
      <w:r>
        <w:t>7</w:t>
      </w:r>
      <w:r w:rsidR="00D67F87" w:rsidRPr="00E67A0E">
        <w:t>.</w:t>
      </w:r>
      <w:r w:rsidR="00C83A7C">
        <w:t>6</w:t>
      </w:r>
      <w:r w:rsidR="00D67F87" w:rsidRPr="00E67A0E">
        <w:t xml:space="preserve">. </w:t>
      </w:r>
      <w:r w:rsidR="00253EA4" w:rsidRPr="00253EA4">
        <w:t>Energoresursu izmaksu samazināšana</w:t>
      </w:r>
      <w:bookmarkEnd w:id="37"/>
    </w:p>
    <w:p w:rsidR="0068188D" w:rsidRDefault="00E87334" w:rsidP="00D67F87">
      <w:r w:rsidRPr="00E67A0E">
        <w:t>Uzņēmējdarbības šķēršļu analīze atklāja, ka liels izaicinājums tālākas cenu priekšrocības uzturēšanai ir ražošanas izmaksu kāpums</w:t>
      </w:r>
      <w:r w:rsidR="001148D6" w:rsidRPr="00E67A0E">
        <w:t>.</w:t>
      </w:r>
      <w:r w:rsidRPr="00E67A0E">
        <w:t xml:space="preserve"> </w:t>
      </w:r>
      <w:r w:rsidR="001148D6" w:rsidRPr="00E67A0E">
        <w:t>Ja i</w:t>
      </w:r>
      <w:r w:rsidRPr="00E67A0E">
        <w:t xml:space="preserve">zejvielu izmaksas ietekmē gan Latvijas ražotājus, gan reģiona konkurentus vienādi, tad enerģijas izmaksas ir tās, kuras atšķiras atkarībā no valsts. </w:t>
      </w:r>
    </w:p>
    <w:p w:rsidR="00D67F87" w:rsidRPr="00E67A0E" w:rsidRDefault="00955533" w:rsidP="00D67F87">
      <w:r w:rsidRPr="00E67A0E">
        <w:t>Ekonomikas ministrijas</w:t>
      </w:r>
      <w:r w:rsidR="00E87334" w:rsidRPr="00E67A0E">
        <w:t xml:space="preserve"> </w:t>
      </w:r>
      <w:r w:rsidRPr="00E67A0E">
        <w:t>Enerģētikas politikas stratēģijas 2030 projektā  ir ietverts, ka viena no līdzšinējām politikas kļūdām ir, ka šobrīd enerģijas lietotājiem ir neefektīvas saistības segt augstās izmaksas tiem enerģijas ražotājiem, kuriem iepriekš piešķirtas tiesības pārdot enerģiju par cenu, kas ir ievērojami virs tirgus līmeņa.</w:t>
      </w:r>
      <w:r w:rsidRPr="00E67A0E">
        <w:rPr>
          <w:rStyle w:val="FootnoteReference"/>
        </w:rPr>
        <w:footnoteReference w:id="22"/>
      </w:r>
    </w:p>
    <w:p w:rsidR="00955533" w:rsidRPr="00E67A0E" w:rsidRDefault="0068188D" w:rsidP="00D67F87">
      <w:r>
        <w:t xml:space="preserve">Analīze liecina, </w:t>
      </w:r>
      <w:r w:rsidR="00955533" w:rsidRPr="00E67A0E">
        <w:t xml:space="preserve">ka </w:t>
      </w:r>
      <w:r>
        <w:t>r</w:t>
      </w:r>
      <w:r w:rsidR="00955533" w:rsidRPr="00E67A0E">
        <w:t>ūpniecība un būvniecība ir trešais lielākais enerģijas galapatērētājs Latvijā. Apstrādes rūpniecībā 2009. gadā lielākie enerģijas patērētāji ir koksnes izstrādājumu (izņemot mēbeles) ražošana</w:t>
      </w:r>
      <w:r>
        <w:t>s nozare</w:t>
      </w:r>
      <w:r w:rsidR="00955533" w:rsidRPr="00E67A0E">
        <w:t xml:space="preserve"> – 39%, metālu ražošana</w:t>
      </w:r>
      <w:r>
        <w:t>s nozare</w:t>
      </w:r>
      <w:r w:rsidR="00955533" w:rsidRPr="00E67A0E">
        <w:t xml:space="preserve"> – 19%, pārtikas produktu un dzērienu ražošana</w:t>
      </w:r>
      <w:r>
        <w:t>s nozare</w:t>
      </w:r>
      <w:r w:rsidR="00955533" w:rsidRPr="00E67A0E">
        <w:t xml:space="preserve"> – 15%, kā arī nemetālisko minerālu izstrādājumu ražošana</w:t>
      </w:r>
      <w:r>
        <w:t>s nozare</w:t>
      </w:r>
      <w:r w:rsidR="00955533" w:rsidRPr="00E67A0E">
        <w:t xml:space="preserve"> – 13%. Šīs nozares 2007., 2008., un 2009. gadā attiecīgi veidoja 74,3</w:t>
      </w:r>
      <w:r w:rsidR="00557AC4" w:rsidRPr="00E67A0E">
        <w:t>%,</w:t>
      </w:r>
      <w:r w:rsidR="00955533" w:rsidRPr="00E67A0E">
        <w:t xml:space="preserve"> 76,9</w:t>
      </w:r>
      <w:r w:rsidR="00557AC4" w:rsidRPr="00E67A0E">
        <w:t>%</w:t>
      </w:r>
      <w:r w:rsidR="00955533" w:rsidRPr="00E67A0E">
        <w:t xml:space="preserve"> un 80,9% no kopējā enerģijas patēriņa apstrādes rūpniecībā. Tādējādi </w:t>
      </w:r>
      <w:r w:rsidR="00B22132" w:rsidRPr="00E67A0E">
        <w:t xml:space="preserve">var secināt, ka </w:t>
      </w:r>
      <w:r w:rsidR="00B22132" w:rsidRPr="00E67A0E">
        <w:lastRenderedPageBreak/>
        <w:t>energoresursu tālāka sadārdzināšanās var ietekmēt vairākas ekonomikā būtiskas nozares.</w:t>
      </w:r>
    </w:p>
    <w:p w:rsidR="00E61EC6" w:rsidRPr="00E67A0E" w:rsidRDefault="00E61EC6" w:rsidP="00E61EC6">
      <w:pPr>
        <w:rPr>
          <w:rFonts w:cs="Times New Roman"/>
          <w:i/>
          <w:iCs/>
          <w:szCs w:val="28"/>
        </w:rPr>
      </w:pPr>
      <w:r w:rsidRPr="00E67A0E">
        <w:t xml:space="preserve">Bez kopējā elektroenerģijas patēriņa ir jāaplūko arī </w:t>
      </w:r>
      <w:r w:rsidR="001B093B" w:rsidRPr="00E67A0E">
        <w:t>atjaunojamos energoresursu</w:t>
      </w:r>
      <w:r w:rsidRPr="00E67A0E">
        <w:t xml:space="preserve"> (AER) atbalsta mehānisma ietekme uz rūpniecības sektoru. Atbalsta mehānisms šajā gadījumā tiek balstīts uz obligāto iepirkumu, kura ietvaros elektroenerģiju no AER ražotājiem iepērk publiskais tirgotājs (AS „Latvenergo”) par noteiktu cenu. Obligātā iepirkuma radītos papildu izdevumus, salīdzinot ar tāda paša apjoma elektroenerģijas iepirkumu elektroenerģijas tirgū, sedz visi Latvijas elektroenerģijas galalietotāji proporcionāli savam elektroenerģijas patēriņam. </w:t>
      </w:r>
      <w:r w:rsidRPr="0068188D">
        <w:rPr>
          <w:b/>
        </w:rPr>
        <w:t>Līdz ar to obligātā iepirkuma komponente veido būtisku izmaksu pozīciju lielajiem industriālajiem elektroenerģijas lietotājiem</w:t>
      </w:r>
      <w:r w:rsidRPr="00E67A0E">
        <w:t xml:space="preserve"> Latvijā</w:t>
      </w:r>
      <w:r w:rsidR="0068188D">
        <w:t>, jo īpaši apstrādes rūpniecības sektoram</w:t>
      </w:r>
      <w:r w:rsidRPr="00E67A0E">
        <w:t>, tādējādi ietekmējot to konkurētspēju, īpaši plašāka mēroga starptautiskā tirgū.</w:t>
      </w:r>
    </w:p>
    <w:p w:rsidR="0068188D" w:rsidRPr="00E67A0E" w:rsidRDefault="0068188D" w:rsidP="0068188D">
      <w:r w:rsidRPr="00AD5865">
        <w:rPr>
          <w:rFonts w:eastAsia="MS Mincho"/>
          <w:b/>
          <w:bCs/>
          <w:szCs w:val="28"/>
          <w:lang w:eastAsia="ja-JP"/>
        </w:rPr>
        <w:t>Ņemot vērā identificētās problēmas un tirgus nepilnības, ir nepieciešams</w:t>
      </w:r>
      <w:r>
        <w:rPr>
          <w:rFonts w:eastAsia="MS Mincho"/>
          <w:b/>
          <w:bCs/>
          <w:szCs w:val="28"/>
          <w:lang w:eastAsia="ja-JP"/>
        </w:rPr>
        <w:t xml:space="preserve"> </w:t>
      </w:r>
      <w:r w:rsidRPr="00E81911">
        <w:rPr>
          <w:rFonts w:eastAsia="MS Mincho"/>
          <w:b/>
          <w:bCs/>
          <w:szCs w:val="28"/>
          <w:u w:val="single"/>
          <w:lang w:eastAsia="ja-JP"/>
        </w:rPr>
        <w:t>prioritāri</w:t>
      </w:r>
      <w:r>
        <w:rPr>
          <w:rFonts w:eastAsia="MS Mincho"/>
          <w:b/>
          <w:bCs/>
          <w:szCs w:val="28"/>
          <w:lang w:eastAsia="ja-JP"/>
        </w:rPr>
        <w:t xml:space="preserve"> īstenot sekojošas aktivitātes</w:t>
      </w:r>
      <w:r w:rsidRPr="00E67A0E">
        <w:t>:</w:t>
      </w:r>
    </w:p>
    <w:p w:rsidR="0068188D" w:rsidRDefault="0068188D" w:rsidP="0068188D">
      <w:pPr>
        <w:pStyle w:val="ListParagraph"/>
        <w:numPr>
          <w:ilvl w:val="0"/>
          <w:numId w:val="41"/>
        </w:numPr>
      </w:pPr>
      <w:r w:rsidRPr="0068188D">
        <w:t>nepieciešams izstrādāt valsts atbalsta programmu energoefektivitātes paaugstināšanas un emisiju samazināšanas risinājumiem rūpniecības sektorā,</w:t>
      </w:r>
      <w:r w:rsidRPr="00E67A0E">
        <w:t xml:space="preserve"> izmantojot finanšu instrumentu darbības principu, ar mērķi uzlabo</w:t>
      </w:r>
      <w:r>
        <w:t>t komersantu energoefektivitāti</w:t>
      </w:r>
      <w:r w:rsidRPr="00E67A0E">
        <w:t>;</w:t>
      </w:r>
    </w:p>
    <w:p w:rsidR="00B22132" w:rsidRPr="0068188D" w:rsidRDefault="00951C2F" w:rsidP="0068188D">
      <w:pPr>
        <w:pStyle w:val="ListParagraph"/>
        <w:numPr>
          <w:ilvl w:val="0"/>
          <w:numId w:val="41"/>
        </w:numPr>
      </w:pPr>
      <w:r w:rsidRPr="0068188D">
        <w:t xml:space="preserve">nepieciešams </w:t>
      </w:r>
      <w:r w:rsidR="0068188D" w:rsidRPr="0068188D">
        <w:t xml:space="preserve">pārskatīt </w:t>
      </w:r>
      <w:r w:rsidR="0068188D">
        <w:t>obligātā iepirkuma sistēmu, minimizējot turpmāko elektroenerģijas kāpumu no realizētas valsts OIK politikas</w:t>
      </w:r>
      <w:r w:rsidR="00BD6DEB">
        <w:t>,</w:t>
      </w:r>
      <w:r w:rsidR="0068188D">
        <w:t xml:space="preserve"> </w:t>
      </w:r>
      <w:r w:rsidR="00BD6DEB">
        <w:t xml:space="preserve">tādējādi </w:t>
      </w:r>
      <w:r w:rsidR="0068188D">
        <w:t xml:space="preserve">samazinot kopējo OIK ietekmi uz elektroenerģijas patērētājiem </w:t>
      </w:r>
    </w:p>
    <w:p w:rsidR="00980640" w:rsidRPr="00E67A0E" w:rsidRDefault="00980640" w:rsidP="00D67F87"/>
    <w:p w:rsidR="00E657D2" w:rsidRDefault="00E17167" w:rsidP="00460751">
      <w:pPr>
        <w:pStyle w:val="Heading1"/>
      </w:pPr>
      <w:bookmarkStart w:id="38" w:name="_Toc354732582"/>
      <w:r>
        <w:t>Institucionālā</w:t>
      </w:r>
      <w:r w:rsidR="00460751">
        <w:t xml:space="preserve"> sistēma pastāvīga dialoga nodrošināšanai</w:t>
      </w:r>
      <w:bookmarkEnd w:id="38"/>
    </w:p>
    <w:p w:rsidR="00460751" w:rsidRDefault="00980640" w:rsidP="003C33FE">
      <w:r>
        <w:t>Latvijas Nacionālajās industriālā politikas vadlīnijās</w:t>
      </w:r>
      <w:r w:rsidR="004C3972">
        <w:rPr>
          <w:rStyle w:val="FootnoteReference"/>
        </w:rPr>
        <w:footnoteReference w:id="23"/>
      </w:r>
      <w:r>
        <w:t xml:space="preserve">, kā viens no tālākās izstrādes soļiem tika noteikts, ka strukturāli jauna sadarbības mehānisma veidā (Dialogs 2.0) ir nepieciešams </w:t>
      </w:r>
      <w:r w:rsidRPr="00980640">
        <w:t>veikt plaša nozaru spēju un prasmju, tai skaitā valdības kļūdu (</w:t>
      </w:r>
      <w:r w:rsidRPr="00BD6DEB">
        <w:rPr>
          <w:i/>
        </w:rPr>
        <w:t>government failure</w:t>
      </w:r>
      <w:r w:rsidRPr="00980640">
        <w:t>) analīzi</w:t>
      </w:r>
      <w:r>
        <w:t>. Kā norādīts</w:t>
      </w:r>
      <w:r w:rsidR="00BD6DEB">
        <w:t xml:space="preserve"> Nacionālajās industriālā politikas</w:t>
      </w:r>
      <w:r>
        <w:t xml:space="preserve"> vadlīnijās </w:t>
      </w:r>
      <w:r w:rsidR="00E17167">
        <w:t>„</w:t>
      </w:r>
      <w:r w:rsidRPr="00980640">
        <w:t>Dialogs 2.0</w:t>
      </w:r>
      <w:r w:rsidR="00E17167">
        <w:t>”</w:t>
      </w:r>
      <w:r w:rsidRPr="00980640">
        <w:t xml:space="preserve"> paredz, ka savu redzējumu un analīzi par augstākminētajiem analīzes aspektiem sniedz ne tikai valsts, bet arī sabiedrība un </w:t>
      </w:r>
      <w:r w:rsidR="00223F5E">
        <w:t>komersantus</w:t>
      </w:r>
      <w:r w:rsidR="00223F5E" w:rsidRPr="00980640">
        <w:t xml:space="preserve"> </w:t>
      </w:r>
      <w:r w:rsidRPr="00980640">
        <w:t>pārstāvošās nevalstiskās organizācijas. Līdz ar to moderna dialoga rezultāts ir pilnīgas informācijas iegūšana, analizējot abu dialoga pušu veiktās analīzes rezultātus, kā arī vienošanās panākšana par inovatīviem valsts intervences mehānismiem</w:t>
      </w:r>
      <w:r>
        <w:t xml:space="preserve">. </w:t>
      </w:r>
      <w:r w:rsidR="004C3972">
        <w:t xml:space="preserve">Īstenojot minēto principu, pamatnostādņu izstrādes laikā notika </w:t>
      </w:r>
      <w:r w:rsidR="00E17167">
        <w:t xml:space="preserve">uzņēmumu menedžmenta intervijas par svarīgākajiem uzņēmumu darbības un ražoto produktu tirgus specifiku, vienlaikus ir notikušas </w:t>
      </w:r>
      <w:r w:rsidR="004C3972">
        <w:t xml:space="preserve">vairākkārtējas diskusijas ar lielākajām nozares asociācijām, prezentējot analīzes starprezultātus un gala rezultātus. Tomēr būtiski ir rast risinājumu „Dialoga 2.0” principa tālākai īstenošanai pamatnostādņu ieviešanas gaitā, jo kā ir norādījis </w:t>
      </w:r>
      <w:r w:rsidR="004C3972">
        <w:lastRenderedPageBreak/>
        <w:t>Hārvarda Universitātes profesors Denijs Rodriks: „</w:t>
      </w:r>
      <w:r w:rsidR="004C3972" w:rsidRPr="004C3972">
        <w:t>Moderna industriālā politika ir process un dialogs, nevis tikai dokuments</w:t>
      </w:r>
      <w:r w:rsidR="004C3972">
        <w:t>”.</w:t>
      </w:r>
    </w:p>
    <w:p w:rsidR="004C3972" w:rsidRDefault="004C3972" w:rsidP="003C33FE">
      <w:r>
        <w:t>Ekonomikas ministrijas sadarbības ar nevalstiskajām organizācijām ietvaros</w:t>
      </w:r>
      <w:r w:rsidR="005C4CFB">
        <w:t xml:space="preserve"> jau</w:t>
      </w:r>
      <w:r>
        <w:t xml:space="preserve"> </w:t>
      </w:r>
      <w:r w:rsidR="005C4CFB">
        <w:t>1999.gadā, izveidoja sadarbības mehānismu, kad Ekonomikas ministrija, Latvijas Tirdzniecības un rūpniecības kamera, Latvijas Darba devēju konfederācija, Latvijas Brīvo arodbiedrību savienība un Latvijas Pašvaldību savienība parakstīja „Vienošanos par sadarbību Tautsaimniecības padomē”. Sadarbības ietvaros notiek regulāras sēdes, kurās Ekonomikas ministrija un citas ministrijas sniedz priekšlikumus un atskaites par to pārziņā esošām politikas jomām, kuras ietekmē uzņēmējdarbību.</w:t>
      </w:r>
    </w:p>
    <w:p w:rsidR="005C4CFB" w:rsidRDefault="005C4CFB" w:rsidP="003C33FE">
      <w:r>
        <w:t>Pastāvīga Dialoga 2.0 nodrošināšanai ir plānots izmantot Tautsaimniecības padomi, kā koleģiālu uzraudzības institūciju sniedzot ikgadēju pārskatu par pamatnostādnēs ietverto pasākumu īstenošanas gaitu un sasniegtajiem rezultātiem. Būtiskākais atskaites posms ir paredzēts 201</w:t>
      </w:r>
      <w:r w:rsidR="009C24C8">
        <w:t>7</w:t>
      </w:r>
      <w:r>
        <w:t>.gadā iesniedzot pamatnostādņu vidusposma novērtējumu un turpmāko trīs gadu rīcības plānu.</w:t>
      </w:r>
    </w:p>
    <w:p w:rsidR="004C3972" w:rsidRPr="00980640" w:rsidRDefault="005C4CFB" w:rsidP="003C33FE">
      <w:r>
        <w:t xml:space="preserve">Vienlaikus, lai nodrošinātu aktuālās informācijas ieguvi </w:t>
      </w:r>
      <w:r w:rsidR="003C33FE">
        <w:t>tiks veikts ikgadējs uzņēmumu priekšrocību un trūkumu monitorings, turpinot izstrādes posmā iesākto uzņēmumu menedžmenta interviju procesu.</w:t>
      </w:r>
    </w:p>
    <w:p w:rsidR="00980640" w:rsidRPr="00460751" w:rsidRDefault="00980640" w:rsidP="00460751"/>
    <w:p w:rsidR="00564985" w:rsidRPr="00E67A0E" w:rsidRDefault="00564985" w:rsidP="001F29BF">
      <w:pPr>
        <w:pStyle w:val="Heading1"/>
      </w:pPr>
      <w:bookmarkStart w:id="39" w:name="_Toc341951838"/>
      <w:bookmarkStart w:id="40" w:name="_Toc354732583"/>
      <w:r w:rsidRPr="00E67A0E">
        <w:t>Dokumenta ietekmes uz valsts un pašvaldības budžetiem novērtējums</w:t>
      </w:r>
      <w:bookmarkEnd w:id="39"/>
      <w:bookmarkEnd w:id="40"/>
    </w:p>
    <w:tbl>
      <w:tblPr>
        <w:tblW w:w="8959"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A0" w:firstRow="1" w:lastRow="0" w:firstColumn="1" w:lastColumn="0" w:noHBand="0" w:noVBand="0"/>
      </w:tblPr>
      <w:tblGrid>
        <w:gridCol w:w="3417"/>
        <w:gridCol w:w="1843"/>
        <w:gridCol w:w="1837"/>
        <w:gridCol w:w="1837"/>
        <w:gridCol w:w="25"/>
      </w:tblGrid>
      <w:tr w:rsidR="00751236" w:rsidRPr="00E67A0E" w:rsidTr="00751236">
        <w:trPr>
          <w:gridAfter w:val="1"/>
          <w:wAfter w:w="25" w:type="dxa"/>
          <w:trHeight w:val="263"/>
          <w:tblCellSpacing w:w="0" w:type="dxa"/>
        </w:trPr>
        <w:tc>
          <w:tcPr>
            <w:tcW w:w="3417" w:type="dxa"/>
            <w:vMerge w:val="restart"/>
            <w:tcBorders>
              <w:top w:val="single" w:sz="6" w:space="0" w:color="808080"/>
              <w:left w:val="single" w:sz="6" w:space="0" w:color="808080"/>
              <w:bottom w:val="single" w:sz="6" w:space="0" w:color="808080"/>
              <w:right w:val="single" w:sz="6" w:space="0" w:color="808080"/>
            </w:tcBorders>
            <w:vAlign w:val="center"/>
          </w:tcPr>
          <w:p w:rsidR="00751236" w:rsidRPr="00E67A0E" w:rsidRDefault="00751236" w:rsidP="00751236">
            <w:pPr>
              <w:spacing w:before="100" w:beforeAutospacing="1" w:after="100" w:afterAutospacing="1"/>
            </w:pPr>
            <w:r w:rsidRPr="00E67A0E">
              <w:t> </w:t>
            </w:r>
          </w:p>
        </w:tc>
        <w:tc>
          <w:tcPr>
            <w:tcW w:w="5517" w:type="dxa"/>
            <w:gridSpan w:val="3"/>
            <w:tcBorders>
              <w:top w:val="single" w:sz="6" w:space="0" w:color="808080"/>
              <w:left w:val="single" w:sz="6" w:space="0" w:color="808080"/>
              <w:bottom w:val="single" w:sz="6" w:space="0" w:color="808080"/>
              <w:right w:val="single" w:sz="6" w:space="0" w:color="808080"/>
            </w:tcBorders>
            <w:vAlign w:val="center"/>
          </w:tcPr>
          <w:p w:rsidR="00751236" w:rsidRPr="00E67A0E" w:rsidRDefault="00751236" w:rsidP="00751236">
            <w:pPr>
              <w:spacing w:before="100" w:beforeAutospacing="1" w:after="100" w:afterAutospacing="1"/>
              <w:jc w:val="center"/>
              <w:rPr>
                <w:b/>
              </w:rPr>
            </w:pPr>
            <w:r w:rsidRPr="00E67A0E">
              <w:rPr>
                <w:b/>
              </w:rPr>
              <w:t>Turpmākie trīs gadi (tūkst. latu)</w:t>
            </w:r>
          </w:p>
        </w:tc>
      </w:tr>
      <w:tr w:rsidR="00751236" w:rsidRPr="00E67A0E" w:rsidTr="00751236">
        <w:trPr>
          <w:gridAfter w:val="1"/>
          <w:wAfter w:w="25" w:type="dxa"/>
          <w:trHeight w:val="138"/>
          <w:tblCellSpacing w:w="0" w:type="dxa"/>
        </w:trPr>
        <w:tc>
          <w:tcPr>
            <w:tcW w:w="3417" w:type="dxa"/>
            <w:vMerge/>
            <w:tcBorders>
              <w:top w:val="single" w:sz="6" w:space="0" w:color="808080"/>
              <w:left w:val="single" w:sz="6" w:space="0" w:color="808080"/>
              <w:bottom w:val="single" w:sz="6" w:space="0" w:color="808080"/>
              <w:right w:val="single" w:sz="6" w:space="0" w:color="808080"/>
            </w:tcBorders>
            <w:vAlign w:val="center"/>
          </w:tcPr>
          <w:p w:rsidR="00751236" w:rsidRPr="00E67A0E" w:rsidRDefault="00751236" w:rsidP="00751236"/>
        </w:tc>
        <w:tc>
          <w:tcPr>
            <w:tcW w:w="1843" w:type="dxa"/>
            <w:tcBorders>
              <w:top w:val="single" w:sz="6" w:space="0" w:color="808080"/>
              <w:left w:val="single" w:sz="6" w:space="0" w:color="808080"/>
              <w:bottom w:val="single" w:sz="6" w:space="0" w:color="808080"/>
              <w:right w:val="single" w:sz="6" w:space="0" w:color="808080"/>
            </w:tcBorders>
            <w:vAlign w:val="center"/>
          </w:tcPr>
          <w:p w:rsidR="00751236" w:rsidRPr="00E67A0E" w:rsidRDefault="00751236" w:rsidP="00F62745">
            <w:pPr>
              <w:spacing w:before="100" w:beforeAutospacing="1" w:after="100" w:afterAutospacing="1"/>
              <w:jc w:val="center"/>
              <w:rPr>
                <w:b/>
              </w:rPr>
            </w:pPr>
            <w:r w:rsidRPr="00E67A0E">
              <w:rPr>
                <w:b/>
              </w:rPr>
              <w:t>201</w:t>
            </w:r>
            <w:r w:rsidR="00F62745">
              <w:rPr>
                <w:b/>
              </w:rPr>
              <w:t>4</w:t>
            </w:r>
            <w:r w:rsidRPr="00E67A0E">
              <w:rPr>
                <w:b/>
              </w:rPr>
              <w:t>.</w:t>
            </w:r>
          </w:p>
        </w:tc>
        <w:tc>
          <w:tcPr>
            <w:tcW w:w="1837" w:type="dxa"/>
            <w:tcBorders>
              <w:top w:val="single" w:sz="6" w:space="0" w:color="808080"/>
              <w:left w:val="single" w:sz="6" w:space="0" w:color="808080"/>
              <w:bottom w:val="single" w:sz="6" w:space="0" w:color="808080"/>
              <w:right w:val="single" w:sz="6" w:space="0" w:color="808080"/>
            </w:tcBorders>
            <w:vAlign w:val="center"/>
          </w:tcPr>
          <w:p w:rsidR="00751236" w:rsidRPr="00E67A0E" w:rsidRDefault="00751236" w:rsidP="00F62745">
            <w:pPr>
              <w:spacing w:before="100" w:beforeAutospacing="1" w:after="100" w:afterAutospacing="1"/>
              <w:jc w:val="center"/>
              <w:rPr>
                <w:b/>
              </w:rPr>
            </w:pPr>
            <w:r w:rsidRPr="00E67A0E">
              <w:rPr>
                <w:b/>
              </w:rPr>
              <w:t>201</w:t>
            </w:r>
            <w:r w:rsidR="00F62745">
              <w:rPr>
                <w:b/>
              </w:rPr>
              <w:t>5</w:t>
            </w:r>
            <w:r w:rsidRPr="00E67A0E">
              <w:rPr>
                <w:b/>
              </w:rPr>
              <w:t>.</w:t>
            </w:r>
          </w:p>
        </w:tc>
        <w:tc>
          <w:tcPr>
            <w:tcW w:w="1837" w:type="dxa"/>
            <w:tcBorders>
              <w:top w:val="single" w:sz="6" w:space="0" w:color="808080"/>
              <w:left w:val="single" w:sz="6" w:space="0" w:color="808080"/>
              <w:bottom w:val="single" w:sz="6" w:space="0" w:color="808080"/>
              <w:right w:val="single" w:sz="6" w:space="0" w:color="808080"/>
            </w:tcBorders>
            <w:vAlign w:val="center"/>
          </w:tcPr>
          <w:p w:rsidR="00751236" w:rsidRPr="00E67A0E" w:rsidRDefault="00751236" w:rsidP="00F62745">
            <w:pPr>
              <w:spacing w:before="100" w:beforeAutospacing="1" w:after="100" w:afterAutospacing="1"/>
              <w:jc w:val="center"/>
              <w:rPr>
                <w:b/>
              </w:rPr>
            </w:pPr>
            <w:r w:rsidRPr="00E67A0E">
              <w:rPr>
                <w:b/>
              </w:rPr>
              <w:t>201</w:t>
            </w:r>
            <w:r w:rsidR="00F62745">
              <w:rPr>
                <w:b/>
              </w:rPr>
              <w:t>6</w:t>
            </w:r>
            <w:r w:rsidRPr="00E67A0E">
              <w:rPr>
                <w:b/>
              </w:rPr>
              <w:t>.</w:t>
            </w:r>
          </w:p>
        </w:tc>
      </w:tr>
      <w:tr w:rsidR="00751236" w:rsidRPr="00E67A0E" w:rsidTr="00751236">
        <w:trPr>
          <w:gridAfter w:val="1"/>
          <w:wAfter w:w="25" w:type="dxa"/>
          <w:trHeight w:val="251"/>
          <w:tblCellSpacing w:w="0" w:type="dxa"/>
        </w:trPr>
        <w:tc>
          <w:tcPr>
            <w:tcW w:w="3417" w:type="dxa"/>
            <w:tcBorders>
              <w:top w:val="single" w:sz="6" w:space="0" w:color="808080"/>
              <w:left w:val="single" w:sz="6" w:space="0" w:color="808080"/>
              <w:bottom w:val="single" w:sz="6" w:space="0" w:color="808080"/>
              <w:right w:val="single" w:sz="6" w:space="0" w:color="808080"/>
            </w:tcBorders>
            <w:vAlign w:val="center"/>
          </w:tcPr>
          <w:p w:rsidR="00751236" w:rsidRPr="00E67A0E" w:rsidRDefault="00751236" w:rsidP="00EA1545">
            <w:pPr>
              <w:ind w:right="126" w:firstLine="0"/>
            </w:pPr>
            <w:r w:rsidRPr="00E67A0E">
              <w:t>Kopējās izmaiņas budžeta ieņēmumos t.sk.:</w:t>
            </w:r>
          </w:p>
        </w:tc>
        <w:tc>
          <w:tcPr>
            <w:tcW w:w="1843" w:type="dxa"/>
            <w:tcBorders>
              <w:top w:val="single" w:sz="6" w:space="0" w:color="808080"/>
              <w:left w:val="single" w:sz="6" w:space="0" w:color="808080"/>
              <w:bottom w:val="single" w:sz="6" w:space="0" w:color="808080"/>
              <w:right w:val="single" w:sz="6" w:space="0" w:color="808080"/>
            </w:tcBorders>
            <w:vAlign w:val="center"/>
          </w:tcPr>
          <w:p w:rsidR="00751236" w:rsidRPr="00E67A0E" w:rsidRDefault="00751236" w:rsidP="00751236">
            <w:pPr>
              <w:jc w:val="center"/>
            </w:pPr>
            <w:r w:rsidRPr="00E67A0E">
              <w:t>0</w:t>
            </w:r>
          </w:p>
        </w:tc>
        <w:tc>
          <w:tcPr>
            <w:tcW w:w="1837" w:type="dxa"/>
            <w:tcBorders>
              <w:top w:val="single" w:sz="6" w:space="0" w:color="808080"/>
              <w:left w:val="single" w:sz="6" w:space="0" w:color="808080"/>
              <w:bottom w:val="single" w:sz="6" w:space="0" w:color="808080"/>
              <w:right w:val="single" w:sz="6" w:space="0" w:color="808080"/>
            </w:tcBorders>
            <w:vAlign w:val="center"/>
          </w:tcPr>
          <w:p w:rsidR="00751236" w:rsidRPr="00E67A0E" w:rsidRDefault="00751236" w:rsidP="00751236">
            <w:pPr>
              <w:jc w:val="center"/>
            </w:pPr>
            <w:r w:rsidRPr="00E67A0E">
              <w:t>0</w:t>
            </w:r>
          </w:p>
        </w:tc>
        <w:tc>
          <w:tcPr>
            <w:tcW w:w="1837" w:type="dxa"/>
            <w:tcBorders>
              <w:top w:val="single" w:sz="6" w:space="0" w:color="808080"/>
              <w:left w:val="single" w:sz="6" w:space="0" w:color="808080"/>
              <w:bottom w:val="single" w:sz="6" w:space="0" w:color="808080"/>
              <w:right w:val="single" w:sz="6" w:space="0" w:color="808080"/>
            </w:tcBorders>
            <w:vAlign w:val="center"/>
          </w:tcPr>
          <w:p w:rsidR="00751236" w:rsidRPr="00E67A0E" w:rsidRDefault="00751236" w:rsidP="00751236">
            <w:pPr>
              <w:jc w:val="center"/>
            </w:pPr>
            <w:r w:rsidRPr="00E67A0E">
              <w:t>0</w:t>
            </w:r>
          </w:p>
        </w:tc>
      </w:tr>
      <w:tr w:rsidR="00751236" w:rsidRPr="00E67A0E" w:rsidTr="00751236">
        <w:trPr>
          <w:gridAfter w:val="1"/>
          <w:wAfter w:w="25" w:type="dxa"/>
          <w:trHeight w:val="251"/>
          <w:tblCellSpacing w:w="0" w:type="dxa"/>
        </w:trPr>
        <w:tc>
          <w:tcPr>
            <w:tcW w:w="3417" w:type="dxa"/>
            <w:tcBorders>
              <w:top w:val="single" w:sz="6" w:space="0" w:color="808080"/>
              <w:left w:val="single" w:sz="6" w:space="0" w:color="808080"/>
              <w:bottom w:val="single" w:sz="6" w:space="0" w:color="808080"/>
              <w:right w:val="single" w:sz="6" w:space="0" w:color="808080"/>
            </w:tcBorders>
            <w:vAlign w:val="center"/>
          </w:tcPr>
          <w:p w:rsidR="00751236" w:rsidRPr="00E67A0E" w:rsidRDefault="00751236" w:rsidP="00EA1545">
            <w:pPr>
              <w:ind w:right="126" w:firstLine="0"/>
            </w:pPr>
            <w:r w:rsidRPr="00E67A0E">
              <w:t>Izmaiņas valsts budžeta ieņēmumos</w:t>
            </w:r>
          </w:p>
        </w:tc>
        <w:tc>
          <w:tcPr>
            <w:tcW w:w="1843" w:type="dxa"/>
            <w:tcBorders>
              <w:top w:val="single" w:sz="6" w:space="0" w:color="808080"/>
              <w:left w:val="single" w:sz="6" w:space="0" w:color="808080"/>
              <w:bottom w:val="single" w:sz="6" w:space="0" w:color="808080"/>
              <w:right w:val="single" w:sz="6" w:space="0" w:color="808080"/>
            </w:tcBorders>
            <w:vAlign w:val="center"/>
          </w:tcPr>
          <w:p w:rsidR="00751236" w:rsidRPr="00E67A0E" w:rsidRDefault="00751236" w:rsidP="00751236">
            <w:pPr>
              <w:jc w:val="center"/>
            </w:pPr>
            <w:r w:rsidRPr="00E67A0E">
              <w:t>0</w:t>
            </w:r>
          </w:p>
        </w:tc>
        <w:tc>
          <w:tcPr>
            <w:tcW w:w="1837" w:type="dxa"/>
            <w:tcBorders>
              <w:top w:val="single" w:sz="6" w:space="0" w:color="808080"/>
              <w:left w:val="single" w:sz="6" w:space="0" w:color="808080"/>
              <w:bottom w:val="single" w:sz="6" w:space="0" w:color="808080"/>
              <w:right w:val="single" w:sz="6" w:space="0" w:color="808080"/>
            </w:tcBorders>
            <w:vAlign w:val="center"/>
          </w:tcPr>
          <w:p w:rsidR="00751236" w:rsidRPr="00E67A0E" w:rsidRDefault="00751236" w:rsidP="00751236">
            <w:pPr>
              <w:jc w:val="center"/>
            </w:pPr>
            <w:r w:rsidRPr="00E67A0E">
              <w:t>0</w:t>
            </w:r>
          </w:p>
        </w:tc>
        <w:tc>
          <w:tcPr>
            <w:tcW w:w="1837" w:type="dxa"/>
            <w:tcBorders>
              <w:top w:val="single" w:sz="6" w:space="0" w:color="808080"/>
              <w:left w:val="single" w:sz="6" w:space="0" w:color="808080"/>
              <w:bottom w:val="single" w:sz="6" w:space="0" w:color="808080"/>
              <w:right w:val="single" w:sz="6" w:space="0" w:color="808080"/>
            </w:tcBorders>
            <w:vAlign w:val="center"/>
          </w:tcPr>
          <w:p w:rsidR="00751236" w:rsidRPr="00E67A0E" w:rsidRDefault="00751236" w:rsidP="00751236">
            <w:pPr>
              <w:jc w:val="center"/>
            </w:pPr>
            <w:r w:rsidRPr="00E67A0E">
              <w:t>0</w:t>
            </w:r>
          </w:p>
        </w:tc>
      </w:tr>
      <w:tr w:rsidR="00751236" w:rsidRPr="00E67A0E" w:rsidTr="00751236">
        <w:trPr>
          <w:gridAfter w:val="1"/>
          <w:wAfter w:w="25" w:type="dxa"/>
          <w:trHeight w:val="239"/>
          <w:tblCellSpacing w:w="0" w:type="dxa"/>
        </w:trPr>
        <w:tc>
          <w:tcPr>
            <w:tcW w:w="3417" w:type="dxa"/>
            <w:tcBorders>
              <w:top w:val="single" w:sz="6" w:space="0" w:color="808080"/>
              <w:left w:val="single" w:sz="6" w:space="0" w:color="808080"/>
              <w:bottom w:val="single" w:sz="6" w:space="0" w:color="808080"/>
              <w:right w:val="single" w:sz="6" w:space="0" w:color="808080"/>
            </w:tcBorders>
            <w:vAlign w:val="center"/>
          </w:tcPr>
          <w:p w:rsidR="00751236" w:rsidRPr="00E67A0E" w:rsidRDefault="00751236" w:rsidP="00EA1545">
            <w:pPr>
              <w:ind w:right="126" w:firstLine="0"/>
            </w:pPr>
            <w:r w:rsidRPr="00E67A0E">
              <w:t>Izmaiņas pašvaldību budžeta ieņēmumos</w:t>
            </w:r>
          </w:p>
        </w:tc>
        <w:tc>
          <w:tcPr>
            <w:tcW w:w="1843" w:type="dxa"/>
            <w:tcBorders>
              <w:top w:val="single" w:sz="6" w:space="0" w:color="808080"/>
              <w:left w:val="single" w:sz="6" w:space="0" w:color="808080"/>
              <w:bottom w:val="single" w:sz="6" w:space="0" w:color="808080"/>
              <w:right w:val="single" w:sz="6" w:space="0" w:color="808080"/>
            </w:tcBorders>
            <w:vAlign w:val="center"/>
          </w:tcPr>
          <w:p w:rsidR="00751236" w:rsidRPr="00E67A0E" w:rsidRDefault="00751236" w:rsidP="00751236">
            <w:pPr>
              <w:jc w:val="center"/>
            </w:pPr>
            <w:r w:rsidRPr="00E67A0E">
              <w:t>0</w:t>
            </w:r>
          </w:p>
        </w:tc>
        <w:tc>
          <w:tcPr>
            <w:tcW w:w="1837" w:type="dxa"/>
            <w:tcBorders>
              <w:top w:val="single" w:sz="6" w:space="0" w:color="808080"/>
              <w:left w:val="single" w:sz="6" w:space="0" w:color="808080"/>
              <w:bottom w:val="single" w:sz="6" w:space="0" w:color="808080"/>
              <w:right w:val="single" w:sz="6" w:space="0" w:color="808080"/>
            </w:tcBorders>
            <w:vAlign w:val="center"/>
          </w:tcPr>
          <w:p w:rsidR="00751236" w:rsidRPr="00E67A0E" w:rsidRDefault="00751236" w:rsidP="00751236">
            <w:pPr>
              <w:jc w:val="center"/>
            </w:pPr>
            <w:r w:rsidRPr="00E67A0E">
              <w:t>0</w:t>
            </w:r>
          </w:p>
        </w:tc>
        <w:tc>
          <w:tcPr>
            <w:tcW w:w="1837" w:type="dxa"/>
            <w:tcBorders>
              <w:top w:val="single" w:sz="6" w:space="0" w:color="808080"/>
              <w:left w:val="single" w:sz="6" w:space="0" w:color="808080"/>
              <w:bottom w:val="single" w:sz="6" w:space="0" w:color="808080"/>
              <w:right w:val="single" w:sz="6" w:space="0" w:color="808080"/>
            </w:tcBorders>
            <w:vAlign w:val="center"/>
          </w:tcPr>
          <w:p w:rsidR="00751236" w:rsidRPr="00E67A0E" w:rsidRDefault="00751236" w:rsidP="00751236">
            <w:pPr>
              <w:jc w:val="center"/>
            </w:pPr>
            <w:r w:rsidRPr="00E67A0E">
              <w:t>0</w:t>
            </w:r>
          </w:p>
        </w:tc>
      </w:tr>
      <w:tr w:rsidR="00751236" w:rsidRPr="00E67A0E" w:rsidTr="00751236">
        <w:trPr>
          <w:gridAfter w:val="1"/>
          <w:wAfter w:w="25" w:type="dxa"/>
          <w:trHeight w:val="251"/>
          <w:tblCellSpacing w:w="0" w:type="dxa"/>
        </w:trPr>
        <w:tc>
          <w:tcPr>
            <w:tcW w:w="3417" w:type="dxa"/>
            <w:tcBorders>
              <w:top w:val="single" w:sz="6" w:space="0" w:color="808080"/>
              <w:left w:val="single" w:sz="6" w:space="0" w:color="808080"/>
              <w:bottom w:val="single" w:sz="6" w:space="0" w:color="808080"/>
              <w:right w:val="single" w:sz="6" w:space="0" w:color="808080"/>
            </w:tcBorders>
            <w:vAlign w:val="center"/>
          </w:tcPr>
          <w:p w:rsidR="00751236" w:rsidRPr="00E67A0E" w:rsidRDefault="00751236" w:rsidP="00EA1545">
            <w:pPr>
              <w:ind w:right="126" w:firstLine="0"/>
            </w:pPr>
            <w:r w:rsidRPr="00E67A0E">
              <w:t>Kopējās izmaiņas budžeta izdevumos t.sk.:</w:t>
            </w:r>
          </w:p>
        </w:tc>
        <w:tc>
          <w:tcPr>
            <w:tcW w:w="1843" w:type="dxa"/>
            <w:tcBorders>
              <w:top w:val="single" w:sz="6" w:space="0" w:color="808080"/>
              <w:left w:val="single" w:sz="6" w:space="0" w:color="808080"/>
              <w:bottom w:val="single" w:sz="6" w:space="0" w:color="808080"/>
              <w:right w:val="single" w:sz="6" w:space="0" w:color="808080"/>
            </w:tcBorders>
          </w:tcPr>
          <w:p w:rsidR="00751236" w:rsidRPr="00E67A0E" w:rsidRDefault="00751236" w:rsidP="00751236">
            <w:pPr>
              <w:jc w:val="center"/>
            </w:pPr>
            <w:r w:rsidRPr="00E67A0E">
              <w:t>0</w:t>
            </w:r>
          </w:p>
        </w:tc>
        <w:tc>
          <w:tcPr>
            <w:tcW w:w="1837" w:type="dxa"/>
            <w:tcBorders>
              <w:top w:val="single" w:sz="6" w:space="0" w:color="808080"/>
              <w:left w:val="single" w:sz="6" w:space="0" w:color="808080"/>
              <w:bottom w:val="single" w:sz="6" w:space="0" w:color="808080"/>
              <w:right w:val="single" w:sz="6" w:space="0" w:color="808080"/>
            </w:tcBorders>
          </w:tcPr>
          <w:p w:rsidR="00751236" w:rsidRPr="00E67A0E" w:rsidRDefault="007A01DB" w:rsidP="00751236">
            <w:pPr>
              <w:jc w:val="center"/>
            </w:pPr>
            <w:r>
              <w:t>0</w:t>
            </w:r>
          </w:p>
        </w:tc>
        <w:tc>
          <w:tcPr>
            <w:tcW w:w="1837" w:type="dxa"/>
            <w:tcBorders>
              <w:top w:val="single" w:sz="6" w:space="0" w:color="808080"/>
              <w:left w:val="single" w:sz="6" w:space="0" w:color="808080"/>
              <w:bottom w:val="single" w:sz="6" w:space="0" w:color="808080"/>
              <w:right w:val="single" w:sz="6" w:space="0" w:color="808080"/>
            </w:tcBorders>
          </w:tcPr>
          <w:p w:rsidR="00751236" w:rsidRPr="00E67A0E" w:rsidRDefault="007A01DB" w:rsidP="00751236">
            <w:pPr>
              <w:jc w:val="center"/>
            </w:pPr>
            <w:r>
              <w:t>0</w:t>
            </w:r>
          </w:p>
        </w:tc>
      </w:tr>
      <w:tr w:rsidR="00751236" w:rsidRPr="00E67A0E" w:rsidTr="00751236">
        <w:trPr>
          <w:gridAfter w:val="1"/>
          <w:wAfter w:w="25" w:type="dxa"/>
          <w:trHeight w:val="239"/>
          <w:tblCellSpacing w:w="0" w:type="dxa"/>
        </w:trPr>
        <w:tc>
          <w:tcPr>
            <w:tcW w:w="3417" w:type="dxa"/>
            <w:tcBorders>
              <w:top w:val="single" w:sz="6" w:space="0" w:color="808080"/>
              <w:left w:val="single" w:sz="6" w:space="0" w:color="808080"/>
              <w:bottom w:val="single" w:sz="6" w:space="0" w:color="808080"/>
              <w:right w:val="single" w:sz="6" w:space="0" w:color="808080"/>
            </w:tcBorders>
            <w:vAlign w:val="center"/>
          </w:tcPr>
          <w:p w:rsidR="00751236" w:rsidRPr="00E67A0E" w:rsidRDefault="00751236" w:rsidP="00EA1545">
            <w:pPr>
              <w:ind w:right="126" w:firstLine="0"/>
            </w:pPr>
            <w:r w:rsidRPr="00E67A0E">
              <w:t>Izmaiņas valsts budžeta izdevumos</w:t>
            </w:r>
          </w:p>
        </w:tc>
        <w:tc>
          <w:tcPr>
            <w:tcW w:w="1843" w:type="dxa"/>
            <w:tcBorders>
              <w:top w:val="single" w:sz="6" w:space="0" w:color="808080"/>
              <w:left w:val="single" w:sz="6" w:space="0" w:color="808080"/>
              <w:bottom w:val="single" w:sz="6" w:space="0" w:color="808080"/>
              <w:right w:val="single" w:sz="6" w:space="0" w:color="808080"/>
            </w:tcBorders>
          </w:tcPr>
          <w:p w:rsidR="00751236" w:rsidRPr="00E67A0E" w:rsidRDefault="00751236" w:rsidP="00751236">
            <w:pPr>
              <w:jc w:val="center"/>
            </w:pPr>
            <w:r w:rsidRPr="00E67A0E">
              <w:t>0</w:t>
            </w:r>
          </w:p>
        </w:tc>
        <w:tc>
          <w:tcPr>
            <w:tcW w:w="1837" w:type="dxa"/>
            <w:tcBorders>
              <w:top w:val="single" w:sz="6" w:space="0" w:color="808080"/>
              <w:left w:val="single" w:sz="6" w:space="0" w:color="808080"/>
              <w:bottom w:val="single" w:sz="6" w:space="0" w:color="808080"/>
              <w:right w:val="single" w:sz="6" w:space="0" w:color="808080"/>
            </w:tcBorders>
          </w:tcPr>
          <w:p w:rsidR="00751236" w:rsidRPr="00E67A0E" w:rsidRDefault="007A01DB" w:rsidP="00751236">
            <w:pPr>
              <w:jc w:val="center"/>
            </w:pPr>
            <w:r>
              <w:t>0</w:t>
            </w:r>
          </w:p>
        </w:tc>
        <w:tc>
          <w:tcPr>
            <w:tcW w:w="1837" w:type="dxa"/>
            <w:tcBorders>
              <w:top w:val="single" w:sz="6" w:space="0" w:color="808080"/>
              <w:left w:val="single" w:sz="6" w:space="0" w:color="808080"/>
              <w:bottom w:val="single" w:sz="6" w:space="0" w:color="808080"/>
              <w:right w:val="single" w:sz="6" w:space="0" w:color="808080"/>
            </w:tcBorders>
          </w:tcPr>
          <w:p w:rsidR="00751236" w:rsidRPr="00E67A0E" w:rsidRDefault="007A01DB" w:rsidP="00751236">
            <w:pPr>
              <w:jc w:val="center"/>
            </w:pPr>
            <w:r>
              <w:t>0</w:t>
            </w:r>
          </w:p>
        </w:tc>
      </w:tr>
      <w:tr w:rsidR="00751236" w:rsidRPr="00E67A0E" w:rsidTr="00751236">
        <w:trPr>
          <w:gridAfter w:val="1"/>
          <w:wAfter w:w="25" w:type="dxa"/>
          <w:trHeight w:val="251"/>
          <w:tblCellSpacing w:w="0" w:type="dxa"/>
        </w:trPr>
        <w:tc>
          <w:tcPr>
            <w:tcW w:w="3417" w:type="dxa"/>
            <w:tcBorders>
              <w:top w:val="single" w:sz="6" w:space="0" w:color="808080"/>
              <w:left w:val="single" w:sz="6" w:space="0" w:color="808080"/>
              <w:bottom w:val="single" w:sz="6" w:space="0" w:color="808080"/>
              <w:right w:val="single" w:sz="6" w:space="0" w:color="808080"/>
            </w:tcBorders>
            <w:vAlign w:val="center"/>
          </w:tcPr>
          <w:p w:rsidR="00751236" w:rsidRPr="00E67A0E" w:rsidRDefault="00751236" w:rsidP="00EA1545">
            <w:pPr>
              <w:ind w:right="126" w:firstLine="0"/>
            </w:pPr>
            <w:r w:rsidRPr="00E67A0E">
              <w:t>Izmaiņas pašvaldību budžeta izdevumos</w:t>
            </w:r>
          </w:p>
        </w:tc>
        <w:tc>
          <w:tcPr>
            <w:tcW w:w="1843" w:type="dxa"/>
            <w:tcBorders>
              <w:top w:val="single" w:sz="6" w:space="0" w:color="808080"/>
              <w:left w:val="single" w:sz="6" w:space="0" w:color="808080"/>
              <w:bottom w:val="single" w:sz="6" w:space="0" w:color="808080"/>
              <w:right w:val="single" w:sz="6" w:space="0" w:color="808080"/>
            </w:tcBorders>
            <w:vAlign w:val="center"/>
          </w:tcPr>
          <w:p w:rsidR="00751236" w:rsidRPr="00E67A0E" w:rsidRDefault="00751236" w:rsidP="00751236">
            <w:pPr>
              <w:jc w:val="center"/>
            </w:pPr>
            <w:r w:rsidRPr="00E67A0E">
              <w:t>0</w:t>
            </w:r>
          </w:p>
        </w:tc>
        <w:tc>
          <w:tcPr>
            <w:tcW w:w="1837" w:type="dxa"/>
            <w:tcBorders>
              <w:top w:val="single" w:sz="6" w:space="0" w:color="808080"/>
              <w:left w:val="single" w:sz="6" w:space="0" w:color="808080"/>
              <w:bottom w:val="single" w:sz="6" w:space="0" w:color="808080"/>
              <w:right w:val="single" w:sz="6" w:space="0" w:color="808080"/>
            </w:tcBorders>
            <w:vAlign w:val="center"/>
          </w:tcPr>
          <w:p w:rsidR="00751236" w:rsidRPr="00E67A0E" w:rsidRDefault="00751236" w:rsidP="00751236">
            <w:pPr>
              <w:jc w:val="center"/>
            </w:pPr>
            <w:r w:rsidRPr="00E67A0E">
              <w:t>0</w:t>
            </w:r>
          </w:p>
        </w:tc>
        <w:tc>
          <w:tcPr>
            <w:tcW w:w="1837" w:type="dxa"/>
            <w:tcBorders>
              <w:top w:val="single" w:sz="6" w:space="0" w:color="808080"/>
              <w:left w:val="single" w:sz="6" w:space="0" w:color="808080"/>
              <w:bottom w:val="single" w:sz="6" w:space="0" w:color="808080"/>
              <w:right w:val="single" w:sz="6" w:space="0" w:color="808080"/>
            </w:tcBorders>
            <w:vAlign w:val="center"/>
          </w:tcPr>
          <w:p w:rsidR="00751236" w:rsidRPr="00E67A0E" w:rsidRDefault="00751236" w:rsidP="00751236">
            <w:pPr>
              <w:jc w:val="center"/>
            </w:pPr>
            <w:r w:rsidRPr="00E67A0E">
              <w:t>0</w:t>
            </w:r>
          </w:p>
        </w:tc>
      </w:tr>
      <w:tr w:rsidR="00751236" w:rsidRPr="00E67A0E" w:rsidTr="00751236">
        <w:trPr>
          <w:gridAfter w:val="1"/>
          <w:wAfter w:w="25" w:type="dxa"/>
          <w:trHeight w:val="239"/>
          <w:tblCellSpacing w:w="0" w:type="dxa"/>
        </w:trPr>
        <w:tc>
          <w:tcPr>
            <w:tcW w:w="3417" w:type="dxa"/>
            <w:tcBorders>
              <w:top w:val="single" w:sz="6" w:space="0" w:color="808080"/>
              <w:left w:val="single" w:sz="6" w:space="0" w:color="808080"/>
              <w:bottom w:val="single" w:sz="6" w:space="0" w:color="808080"/>
              <w:right w:val="single" w:sz="6" w:space="0" w:color="808080"/>
            </w:tcBorders>
            <w:vAlign w:val="center"/>
          </w:tcPr>
          <w:p w:rsidR="00751236" w:rsidRPr="00E67A0E" w:rsidRDefault="00751236" w:rsidP="00EA1545">
            <w:pPr>
              <w:ind w:right="126" w:firstLine="0"/>
            </w:pPr>
            <w:r w:rsidRPr="00E67A0E">
              <w:t>Kopējā finansiālā ietekme:</w:t>
            </w:r>
          </w:p>
        </w:tc>
        <w:tc>
          <w:tcPr>
            <w:tcW w:w="1843" w:type="dxa"/>
            <w:tcBorders>
              <w:top w:val="single" w:sz="6" w:space="0" w:color="808080"/>
              <w:left w:val="single" w:sz="6" w:space="0" w:color="808080"/>
              <w:bottom w:val="single" w:sz="6" w:space="0" w:color="808080"/>
              <w:right w:val="single" w:sz="6" w:space="0" w:color="808080"/>
            </w:tcBorders>
          </w:tcPr>
          <w:p w:rsidR="00751236" w:rsidRPr="00E67A0E" w:rsidRDefault="00751236" w:rsidP="00751236">
            <w:pPr>
              <w:jc w:val="center"/>
            </w:pPr>
            <w:r w:rsidRPr="00E67A0E">
              <w:t>0</w:t>
            </w:r>
          </w:p>
        </w:tc>
        <w:tc>
          <w:tcPr>
            <w:tcW w:w="1837" w:type="dxa"/>
            <w:tcBorders>
              <w:top w:val="single" w:sz="6" w:space="0" w:color="808080"/>
              <w:left w:val="single" w:sz="6" w:space="0" w:color="808080"/>
              <w:bottom w:val="single" w:sz="6" w:space="0" w:color="808080"/>
              <w:right w:val="single" w:sz="6" w:space="0" w:color="808080"/>
            </w:tcBorders>
          </w:tcPr>
          <w:p w:rsidR="00751236" w:rsidRPr="00E67A0E" w:rsidRDefault="007A01DB" w:rsidP="00751236">
            <w:pPr>
              <w:jc w:val="center"/>
            </w:pPr>
            <w:r>
              <w:t>0</w:t>
            </w:r>
          </w:p>
        </w:tc>
        <w:tc>
          <w:tcPr>
            <w:tcW w:w="1837" w:type="dxa"/>
            <w:tcBorders>
              <w:top w:val="single" w:sz="6" w:space="0" w:color="808080"/>
              <w:left w:val="single" w:sz="6" w:space="0" w:color="808080"/>
              <w:bottom w:val="single" w:sz="6" w:space="0" w:color="808080"/>
              <w:right w:val="single" w:sz="6" w:space="0" w:color="808080"/>
            </w:tcBorders>
          </w:tcPr>
          <w:p w:rsidR="00751236" w:rsidRPr="00E67A0E" w:rsidRDefault="007A01DB" w:rsidP="00751236">
            <w:pPr>
              <w:jc w:val="center"/>
            </w:pPr>
            <w:r>
              <w:t>0</w:t>
            </w:r>
          </w:p>
        </w:tc>
      </w:tr>
      <w:tr w:rsidR="00751236" w:rsidRPr="00E67A0E" w:rsidTr="00751236">
        <w:trPr>
          <w:gridAfter w:val="1"/>
          <w:wAfter w:w="25" w:type="dxa"/>
          <w:trHeight w:val="251"/>
          <w:tblCellSpacing w:w="0" w:type="dxa"/>
        </w:trPr>
        <w:tc>
          <w:tcPr>
            <w:tcW w:w="3417" w:type="dxa"/>
            <w:tcBorders>
              <w:top w:val="single" w:sz="6" w:space="0" w:color="808080"/>
              <w:left w:val="single" w:sz="6" w:space="0" w:color="808080"/>
              <w:bottom w:val="single" w:sz="6" w:space="0" w:color="808080"/>
              <w:right w:val="single" w:sz="6" w:space="0" w:color="808080"/>
            </w:tcBorders>
            <w:vAlign w:val="center"/>
          </w:tcPr>
          <w:p w:rsidR="00751236" w:rsidRPr="00E67A0E" w:rsidRDefault="00751236" w:rsidP="00EA1545">
            <w:pPr>
              <w:ind w:right="126" w:firstLine="0"/>
            </w:pPr>
            <w:r w:rsidRPr="00E67A0E">
              <w:t>Finansiālā ietekme uz valsts budžetu</w:t>
            </w:r>
          </w:p>
        </w:tc>
        <w:tc>
          <w:tcPr>
            <w:tcW w:w="1843" w:type="dxa"/>
            <w:tcBorders>
              <w:top w:val="single" w:sz="6" w:space="0" w:color="808080"/>
              <w:left w:val="single" w:sz="6" w:space="0" w:color="808080"/>
              <w:bottom w:val="single" w:sz="6" w:space="0" w:color="808080"/>
              <w:right w:val="single" w:sz="6" w:space="0" w:color="808080"/>
            </w:tcBorders>
          </w:tcPr>
          <w:p w:rsidR="00751236" w:rsidRPr="00E67A0E" w:rsidRDefault="00751236" w:rsidP="00751236">
            <w:pPr>
              <w:jc w:val="center"/>
            </w:pPr>
            <w:r w:rsidRPr="00E67A0E">
              <w:t>0</w:t>
            </w:r>
          </w:p>
        </w:tc>
        <w:tc>
          <w:tcPr>
            <w:tcW w:w="1837" w:type="dxa"/>
            <w:tcBorders>
              <w:top w:val="single" w:sz="6" w:space="0" w:color="808080"/>
              <w:left w:val="single" w:sz="6" w:space="0" w:color="808080"/>
              <w:bottom w:val="single" w:sz="6" w:space="0" w:color="808080"/>
              <w:right w:val="single" w:sz="6" w:space="0" w:color="808080"/>
            </w:tcBorders>
          </w:tcPr>
          <w:p w:rsidR="00751236" w:rsidRPr="00E67A0E" w:rsidRDefault="007A01DB" w:rsidP="00751236">
            <w:pPr>
              <w:jc w:val="center"/>
            </w:pPr>
            <w:r>
              <w:t>0</w:t>
            </w:r>
          </w:p>
        </w:tc>
        <w:tc>
          <w:tcPr>
            <w:tcW w:w="1837" w:type="dxa"/>
            <w:tcBorders>
              <w:top w:val="single" w:sz="6" w:space="0" w:color="808080"/>
              <w:left w:val="single" w:sz="6" w:space="0" w:color="808080"/>
              <w:bottom w:val="single" w:sz="6" w:space="0" w:color="808080"/>
              <w:right w:val="single" w:sz="6" w:space="0" w:color="808080"/>
            </w:tcBorders>
          </w:tcPr>
          <w:p w:rsidR="00751236" w:rsidRPr="00E67A0E" w:rsidRDefault="007A01DB" w:rsidP="00751236">
            <w:pPr>
              <w:jc w:val="center"/>
            </w:pPr>
            <w:r>
              <w:t>0</w:t>
            </w:r>
          </w:p>
        </w:tc>
      </w:tr>
      <w:tr w:rsidR="00751236" w:rsidRPr="00E67A0E" w:rsidTr="00751236">
        <w:trPr>
          <w:gridAfter w:val="1"/>
          <w:wAfter w:w="25" w:type="dxa"/>
          <w:trHeight w:val="239"/>
          <w:tblCellSpacing w:w="0" w:type="dxa"/>
        </w:trPr>
        <w:tc>
          <w:tcPr>
            <w:tcW w:w="3417" w:type="dxa"/>
            <w:tcBorders>
              <w:top w:val="single" w:sz="6" w:space="0" w:color="808080"/>
              <w:left w:val="single" w:sz="6" w:space="0" w:color="808080"/>
              <w:bottom w:val="single" w:sz="6" w:space="0" w:color="808080"/>
              <w:right w:val="single" w:sz="6" w:space="0" w:color="808080"/>
            </w:tcBorders>
            <w:vAlign w:val="center"/>
          </w:tcPr>
          <w:p w:rsidR="00751236" w:rsidRPr="00E67A0E" w:rsidRDefault="00751236" w:rsidP="00EA1545">
            <w:pPr>
              <w:spacing w:before="100" w:beforeAutospacing="1" w:after="100" w:afterAutospacing="1"/>
              <w:ind w:right="126" w:firstLine="0"/>
            </w:pPr>
            <w:r w:rsidRPr="00E67A0E">
              <w:t>Finansiālā ietekme uz pašvaldību budžetu</w:t>
            </w:r>
          </w:p>
        </w:tc>
        <w:tc>
          <w:tcPr>
            <w:tcW w:w="1843" w:type="dxa"/>
            <w:tcBorders>
              <w:top w:val="single" w:sz="6" w:space="0" w:color="808080"/>
              <w:left w:val="single" w:sz="6" w:space="0" w:color="808080"/>
              <w:bottom w:val="single" w:sz="6" w:space="0" w:color="808080"/>
              <w:right w:val="single" w:sz="6" w:space="0" w:color="808080"/>
            </w:tcBorders>
            <w:vAlign w:val="center"/>
          </w:tcPr>
          <w:p w:rsidR="00751236" w:rsidRPr="00E67A0E" w:rsidRDefault="00751236" w:rsidP="00751236">
            <w:pPr>
              <w:spacing w:before="100" w:beforeAutospacing="1" w:after="100" w:afterAutospacing="1"/>
              <w:jc w:val="center"/>
            </w:pPr>
            <w:r w:rsidRPr="00E67A0E">
              <w:t>0</w:t>
            </w:r>
          </w:p>
        </w:tc>
        <w:tc>
          <w:tcPr>
            <w:tcW w:w="1837" w:type="dxa"/>
            <w:tcBorders>
              <w:top w:val="single" w:sz="6" w:space="0" w:color="808080"/>
              <w:left w:val="single" w:sz="6" w:space="0" w:color="808080"/>
              <w:bottom w:val="single" w:sz="6" w:space="0" w:color="808080"/>
              <w:right w:val="single" w:sz="6" w:space="0" w:color="808080"/>
            </w:tcBorders>
            <w:vAlign w:val="center"/>
          </w:tcPr>
          <w:p w:rsidR="00751236" w:rsidRPr="00E67A0E" w:rsidRDefault="00751236" w:rsidP="00751236">
            <w:pPr>
              <w:spacing w:before="100" w:beforeAutospacing="1" w:after="100" w:afterAutospacing="1"/>
              <w:jc w:val="center"/>
            </w:pPr>
            <w:r w:rsidRPr="00E67A0E">
              <w:t>0</w:t>
            </w:r>
          </w:p>
        </w:tc>
        <w:tc>
          <w:tcPr>
            <w:tcW w:w="1837" w:type="dxa"/>
            <w:tcBorders>
              <w:top w:val="single" w:sz="6" w:space="0" w:color="808080"/>
              <w:left w:val="single" w:sz="6" w:space="0" w:color="808080"/>
              <w:bottom w:val="single" w:sz="6" w:space="0" w:color="808080"/>
              <w:right w:val="single" w:sz="6" w:space="0" w:color="808080"/>
            </w:tcBorders>
            <w:vAlign w:val="center"/>
          </w:tcPr>
          <w:p w:rsidR="00751236" w:rsidRPr="00E67A0E" w:rsidRDefault="00751236" w:rsidP="00751236">
            <w:pPr>
              <w:spacing w:before="100" w:beforeAutospacing="1" w:after="100" w:afterAutospacing="1"/>
              <w:jc w:val="center"/>
            </w:pPr>
            <w:r w:rsidRPr="00E67A0E">
              <w:t>0</w:t>
            </w:r>
          </w:p>
        </w:tc>
      </w:tr>
      <w:tr w:rsidR="00751236" w:rsidRPr="00E67A0E" w:rsidTr="00631927">
        <w:trPr>
          <w:tblCellSpacing w:w="0" w:type="dxa"/>
        </w:trPr>
        <w:tc>
          <w:tcPr>
            <w:tcW w:w="3417" w:type="dxa"/>
            <w:tcBorders>
              <w:top w:val="single" w:sz="6" w:space="0" w:color="808080"/>
              <w:left w:val="single" w:sz="6" w:space="0" w:color="808080"/>
              <w:bottom w:val="single" w:sz="6" w:space="0" w:color="808080"/>
              <w:right w:val="single" w:sz="6" w:space="0" w:color="808080"/>
            </w:tcBorders>
            <w:vAlign w:val="center"/>
          </w:tcPr>
          <w:p w:rsidR="00751236" w:rsidRPr="00E67A0E" w:rsidRDefault="00751236" w:rsidP="00631927">
            <w:pPr>
              <w:ind w:left="142" w:firstLine="0"/>
              <w:rPr>
                <w:i/>
              </w:rPr>
            </w:pPr>
            <w:r w:rsidRPr="00E67A0E">
              <w:rPr>
                <w:i/>
              </w:rPr>
              <w:t>Detalizēts ieņēmumu un izdevumu aprēķins</w:t>
            </w:r>
          </w:p>
          <w:p w:rsidR="00751236" w:rsidRPr="00E67A0E" w:rsidRDefault="00751236" w:rsidP="00631927">
            <w:pPr>
              <w:ind w:left="142" w:firstLine="0"/>
              <w:rPr>
                <w:i/>
              </w:rPr>
            </w:pPr>
            <w:r w:rsidRPr="00E67A0E">
              <w:rPr>
                <w:i/>
              </w:rPr>
              <w:lastRenderedPageBreak/>
              <w:t>(ja nepieciešams, detalizētu ieņēmumu un izdevumu aprēķinu pievieno politikas plānošanas dokumenta pielikumā. Ietekmi uz valsts un pašvaldību budžetiem norāda atsevišķi valsts un pašvaldību budžetam)</w:t>
            </w:r>
          </w:p>
          <w:p w:rsidR="00751236" w:rsidRPr="00E67A0E" w:rsidRDefault="00751236" w:rsidP="00751236">
            <w:pPr>
              <w:ind w:left="142"/>
            </w:pPr>
          </w:p>
        </w:tc>
        <w:tc>
          <w:tcPr>
            <w:tcW w:w="5542" w:type="dxa"/>
            <w:gridSpan w:val="4"/>
            <w:tcBorders>
              <w:top w:val="single" w:sz="6" w:space="0" w:color="808080"/>
              <w:left w:val="single" w:sz="6" w:space="0" w:color="808080"/>
              <w:bottom w:val="single" w:sz="6" w:space="0" w:color="808080"/>
              <w:right w:val="single" w:sz="6" w:space="0" w:color="808080"/>
            </w:tcBorders>
          </w:tcPr>
          <w:p w:rsidR="007A01DB" w:rsidRDefault="007A01DB" w:rsidP="00323CB7">
            <w:pPr>
              <w:pStyle w:val="naisf"/>
              <w:spacing w:before="0" w:after="0"/>
              <w:ind w:left="128" w:right="126" w:firstLine="0"/>
            </w:pPr>
          </w:p>
          <w:p w:rsidR="00751236" w:rsidRPr="00E67A0E" w:rsidRDefault="00745060" w:rsidP="00751236">
            <w:pPr>
              <w:pStyle w:val="naisf"/>
              <w:spacing w:before="0" w:after="0"/>
              <w:ind w:left="127" w:right="126" w:firstLine="0"/>
            </w:pPr>
            <w:r w:rsidRPr="00E67A0E">
              <w:t xml:space="preserve">Lēmums par pamatnostādņu rīcības virzienu īstenošanai nepieciešamo valsts budžeta finansējumu </w:t>
            </w:r>
            <w:r w:rsidRPr="00E67A0E">
              <w:lastRenderedPageBreak/>
              <w:t>2014.-2020.gadam tiks izskatīts Ministru kabinetā likumprojekta par valsts budžetu kārtējam gadam sagatavošanas gaitā.</w:t>
            </w:r>
          </w:p>
        </w:tc>
      </w:tr>
    </w:tbl>
    <w:p w:rsidR="00746C8D" w:rsidRPr="00E67A0E" w:rsidRDefault="00746C8D" w:rsidP="00B17721">
      <w:pPr>
        <w:pStyle w:val="ListParagraph"/>
        <w:ind w:firstLine="0"/>
      </w:pPr>
    </w:p>
    <w:p w:rsidR="00564985" w:rsidRPr="00E67A0E" w:rsidRDefault="00564985" w:rsidP="001F29BF">
      <w:pPr>
        <w:pStyle w:val="Heading1"/>
      </w:pPr>
      <w:bookmarkStart w:id="41" w:name="_Toc341951839"/>
      <w:bookmarkStart w:id="42" w:name="_Toc354732584"/>
      <w:r w:rsidRPr="00E67A0E">
        <w:t>Pārskatu sniegšanas kārtība</w:t>
      </w:r>
      <w:bookmarkEnd w:id="41"/>
      <w:bookmarkEnd w:id="42"/>
    </w:p>
    <w:p w:rsidR="00EB35EE" w:rsidRPr="00E67A0E" w:rsidRDefault="00EB35EE" w:rsidP="004922F6">
      <w:r w:rsidRPr="00E67A0E">
        <w:t>Par pamatnostādņu īstenošanas koordināciju atbildīga ir Ekonomikas ministrija.</w:t>
      </w:r>
    </w:p>
    <w:p w:rsidR="00EB35EE" w:rsidRPr="00E67A0E" w:rsidRDefault="00EB35EE" w:rsidP="004922F6">
      <w:r w:rsidRPr="00E67A0E">
        <w:t>Par savā kompetencē esošo pasākumu īstenošanu atbildīgās institūcijas –Finanšu ministrija, Izglītības un zinātnes ministrija, Labklājības ministrija, Vides aizsardzības un reģionālās attīstības ministrija, Zemkopības ministrija iesniedz Ekonomikas ministrijā informāciju par tās kompetencē esošo pamatnostādnēs noteikto uzdevumu un pasākumu izpildes gaitu un rezultātiem. Ekonomikas ministrija starpposma novērtējumu veic 201</w:t>
      </w:r>
      <w:r w:rsidR="00166C3E">
        <w:t>7</w:t>
      </w:r>
      <w:r w:rsidRPr="00E67A0E">
        <w:t>.gadā.</w:t>
      </w:r>
    </w:p>
    <w:p w:rsidR="00EB35EE" w:rsidRPr="00E67A0E" w:rsidRDefault="00EB35EE" w:rsidP="004922F6">
      <w:r w:rsidRPr="00E67A0E">
        <w:t>Pēc pamatnostādņu darbības perioda beigām Ekonomikas ministrija vei</w:t>
      </w:r>
      <w:r w:rsidR="00CA3F8A" w:rsidRPr="00E67A0E">
        <w:t>ks pamatnostādņu</w:t>
      </w:r>
      <w:r w:rsidRPr="00E67A0E">
        <w:t xml:space="preserve"> </w:t>
      </w:r>
      <w:r w:rsidRPr="00E67A0E">
        <w:rPr>
          <w:i/>
        </w:rPr>
        <w:t>ex-post</w:t>
      </w:r>
      <w:r w:rsidRPr="00E67A0E">
        <w:t xml:space="preserve"> novērtējumu. </w:t>
      </w:r>
    </w:p>
    <w:p w:rsidR="00EB35EE" w:rsidRPr="00E67A0E" w:rsidRDefault="00EB35EE" w:rsidP="00EB35EE">
      <w:pPr>
        <w:ind w:right="-143" w:firstLine="567"/>
        <w:rPr>
          <w:sz w:val="26"/>
          <w:szCs w:val="26"/>
        </w:rPr>
      </w:pPr>
    </w:p>
    <w:p w:rsidR="00EB35EE" w:rsidRPr="00E67A0E" w:rsidRDefault="00EB35EE" w:rsidP="00460751">
      <w:pPr>
        <w:pStyle w:val="Heading1"/>
        <w:rPr>
          <w:rFonts w:eastAsia="Calibri"/>
          <w:lang w:eastAsia="ja-JP"/>
        </w:rPr>
      </w:pPr>
      <w:bookmarkStart w:id="43" w:name="_Toc337540118"/>
      <w:bookmarkStart w:id="44" w:name="_Toc341951840"/>
      <w:bookmarkStart w:id="45" w:name="_Toc354732585"/>
      <w:r w:rsidRPr="00460751">
        <w:t>Sasaiste ar citos politikas plānošanas dokumentos</w:t>
      </w:r>
      <w:r w:rsidRPr="00E67A0E">
        <w:rPr>
          <w:rFonts w:eastAsia="Calibri"/>
          <w:lang w:eastAsia="ja-JP"/>
        </w:rPr>
        <w:t xml:space="preserve"> noteiktajām prioritātēm</w:t>
      </w:r>
      <w:bookmarkEnd w:id="43"/>
      <w:bookmarkEnd w:id="44"/>
      <w:bookmarkEnd w:id="45"/>
    </w:p>
    <w:p w:rsidR="00EB35EE" w:rsidRPr="00E67A0E" w:rsidRDefault="00EB35EE" w:rsidP="004922F6">
      <w:pPr>
        <w:rPr>
          <w:lang w:eastAsia="zh-CN"/>
        </w:rPr>
      </w:pPr>
      <w:r w:rsidRPr="00E67A0E">
        <w:rPr>
          <w:lang w:eastAsia="zh-CN"/>
        </w:rPr>
        <w:t>Pamatnostādnēm ir sasaite ar vairākiem politikas plānošanas dokumentiem un tajos izvirzītajām prioritātēm, kas ietver ar eksporta veicināšanu un ĀTI saistītos jautājumus (skat.</w:t>
      </w:r>
      <w:r w:rsidR="00282FF2">
        <w:rPr>
          <w:lang w:eastAsia="zh-CN"/>
        </w:rPr>
        <w:t xml:space="preserve"> </w:t>
      </w:r>
      <w:r w:rsidR="0091402C">
        <w:rPr>
          <w:lang w:eastAsia="zh-CN"/>
        </w:rPr>
        <w:t>3</w:t>
      </w:r>
      <w:r w:rsidRPr="00E67A0E">
        <w:rPr>
          <w:lang w:eastAsia="zh-CN"/>
        </w:rPr>
        <w:t>.tabulu).</w:t>
      </w:r>
    </w:p>
    <w:p w:rsidR="00EB35EE" w:rsidRPr="00E67A0E" w:rsidRDefault="00B03D95" w:rsidP="00EB35EE">
      <w:pPr>
        <w:ind w:right="-143" w:firstLine="709"/>
        <w:jc w:val="right"/>
        <w:rPr>
          <w:rFonts w:eastAsia="Times New Roman" w:cs="Times New Roman"/>
          <w:sz w:val="26"/>
          <w:szCs w:val="26"/>
          <w:lang w:eastAsia="zh-CN"/>
        </w:rPr>
      </w:pPr>
      <w:r>
        <w:rPr>
          <w:rFonts w:eastAsia="Times New Roman" w:cs="Times New Roman"/>
          <w:sz w:val="26"/>
          <w:szCs w:val="26"/>
          <w:lang w:eastAsia="zh-CN"/>
        </w:rPr>
        <w:t>2</w:t>
      </w:r>
      <w:r w:rsidR="00EB35EE" w:rsidRPr="00E67A0E">
        <w:rPr>
          <w:rFonts w:eastAsia="Times New Roman" w:cs="Times New Roman"/>
          <w:sz w:val="26"/>
          <w:szCs w:val="26"/>
          <w:lang w:eastAsia="zh-CN"/>
        </w:rPr>
        <w:t>.tabula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969"/>
        <w:gridCol w:w="4501"/>
      </w:tblGrid>
      <w:tr w:rsidR="00EB35EE" w:rsidRPr="00E67A0E" w:rsidTr="001A1FC0">
        <w:tc>
          <w:tcPr>
            <w:tcW w:w="675" w:type="dxa"/>
            <w:vAlign w:val="center"/>
          </w:tcPr>
          <w:p w:rsidR="00EB35EE" w:rsidRPr="00E67A0E" w:rsidRDefault="00EB35EE" w:rsidP="00EB35EE">
            <w:pPr>
              <w:spacing w:before="20" w:after="20"/>
              <w:ind w:right="-142" w:firstLine="0"/>
              <w:jc w:val="center"/>
              <w:rPr>
                <w:rFonts w:eastAsia="Times New Roman" w:cs="Times New Roman"/>
                <w:b/>
                <w:szCs w:val="24"/>
                <w:lang w:eastAsia="zh-CN"/>
              </w:rPr>
            </w:pPr>
            <w:r w:rsidRPr="00E67A0E">
              <w:rPr>
                <w:rFonts w:eastAsia="Times New Roman" w:cs="Times New Roman"/>
                <w:b/>
                <w:szCs w:val="24"/>
                <w:lang w:eastAsia="zh-CN"/>
              </w:rPr>
              <w:t>Nr.</w:t>
            </w:r>
          </w:p>
          <w:p w:rsidR="00EB35EE" w:rsidRPr="00E67A0E" w:rsidRDefault="00EB35EE" w:rsidP="00EB35EE">
            <w:pPr>
              <w:spacing w:before="20" w:after="20"/>
              <w:ind w:right="-142" w:firstLine="0"/>
              <w:jc w:val="center"/>
              <w:rPr>
                <w:rFonts w:eastAsia="Times New Roman" w:cs="Times New Roman"/>
                <w:b/>
                <w:szCs w:val="24"/>
                <w:lang w:eastAsia="zh-CN"/>
              </w:rPr>
            </w:pPr>
            <w:r w:rsidRPr="00E67A0E">
              <w:rPr>
                <w:rFonts w:eastAsia="Times New Roman" w:cs="Times New Roman"/>
                <w:b/>
                <w:szCs w:val="24"/>
                <w:lang w:eastAsia="zh-CN"/>
              </w:rPr>
              <w:t>p.k.</w:t>
            </w:r>
          </w:p>
        </w:tc>
        <w:tc>
          <w:tcPr>
            <w:tcW w:w="3969" w:type="dxa"/>
            <w:vAlign w:val="center"/>
          </w:tcPr>
          <w:p w:rsidR="00EB35EE" w:rsidRPr="00E67A0E" w:rsidRDefault="00EB35EE" w:rsidP="00EB35EE">
            <w:pPr>
              <w:spacing w:before="20" w:after="20"/>
              <w:ind w:right="-142" w:firstLine="0"/>
              <w:jc w:val="center"/>
              <w:rPr>
                <w:rFonts w:eastAsia="Times New Roman" w:cs="Times New Roman"/>
                <w:b/>
                <w:szCs w:val="24"/>
                <w:lang w:eastAsia="zh-CN"/>
              </w:rPr>
            </w:pPr>
            <w:r w:rsidRPr="00E67A0E">
              <w:rPr>
                <w:rFonts w:eastAsia="Times New Roman" w:cs="Times New Roman"/>
                <w:b/>
                <w:szCs w:val="24"/>
                <w:lang w:eastAsia="zh-CN"/>
              </w:rPr>
              <w:t>Dokumenta nosaukums</w:t>
            </w:r>
          </w:p>
        </w:tc>
        <w:tc>
          <w:tcPr>
            <w:tcW w:w="4501" w:type="dxa"/>
            <w:vAlign w:val="center"/>
          </w:tcPr>
          <w:p w:rsidR="00EB35EE" w:rsidRPr="00E67A0E" w:rsidRDefault="00EB35EE" w:rsidP="006E4C22">
            <w:pPr>
              <w:spacing w:before="20" w:after="20"/>
              <w:ind w:right="-142" w:firstLine="0"/>
              <w:jc w:val="center"/>
              <w:rPr>
                <w:rFonts w:eastAsia="Times New Roman" w:cs="Times New Roman"/>
                <w:b/>
                <w:szCs w:val="24"/>
                <w:lang w:eastAsia="zh-CN"/>
              </w:rPr>
            </w:pPr>
            <w:r w:rsidRPr="00E67A0E">
              <w:rPr>
                <w:rFonts w:eastAsia="Times New Roman" w:cs="Times New Roman"/>
                <w:b/>
                <w:szCs w:val="24"/>
                <w:lang w:eastAsia="zh-CN"/>
              </w:rPr>
              <w:t xml:space="preserve">Sasaiste ar </w:t>
            </w:r>
            <w:r w:rsidR="006E4C22">
              <w:rPr>
                <w:rFonts w:eastAsia="Times New Roman" w:cs="Times New Roman"/>
                <w:b/>
                <w:szCs w:val="24"/>
                <w:lang w:eastAsia="zh-CN"/>
              </w:rPr>
              <w:t xml:space="preserve">Nacionālo industriālo </w:t>
            </w:r>
            <w:r w:rsidRPr="00E67A0E">
              <w:rPr>
                <w:rFonts w:eastAsia="Times New Roman" w:cs="Times New Roman"/>
                <w:b/>
                <w:szCs w:val="24"/>
                <w:lang w:eastAsia="zh-CN"/>
              </w:rPr>
              <w:t xml:space="preserve"> politiku</w:t>
            </w:r>
          </w:p>
        </w:tc>
      </w:tr>
      <w:tr w:rsidR="00EB35EE" w:rsidRPr="00E67A0E" w:rsidTr="001A1FC0">
        <w:tc>
          <w:tcPr>
            <w:tcW w:w="675" w:type="dxa"/>
          </w:tcPr>
          <w:p w:rsidR="00EB35EE" w:rsidRPr="0032034B" w:rsidRDefault="00EB35EE" w:rsidP="00EB35EE">
            <w:pPr>
              <w:ind w:right="-143" w:firstLine="0"/>
              <w:rPr>
                <w:rFonts w:eastAsia="Times New Roman" w:cs="Times New Roman"/>
                <w:szCs w:val="24"/>
                <w:lang w:eastAsia="zh-CN"/>
              </w:rPr>
            </w:pPr>
            <w:r w:rsidRPr="0032034B">
              <w:rPr>
                <w:rFonts w:eastAsia="Times New Roman" w:cs="Times New Roman"/>
                <w:szCs w:val="24"/>
                <w:lang w:eastAsia="zh-CN"/>
              </w:rPr>
              <w:t>1.</w:t>
            </w:r>
          </w:p>
        </w:tc>
        <w:tc>
          <w:tcPr>
            <w:tcW w:w="3969" w:type="dxa"/>
          </w:tcPr>
          <w:p w:rsidR="00EB35EE" w:rsidRPr="0032034B" w:rsidRDefault="00EB35EE" w:rsidP="00EB35EE">
            <w:pPr>
              <w:ind w:firstLine="0"/>
              <w:jc w:val="left"/>
              <w:rPr>
                <w:rFonts w:eastAsia="Times New Roman" w:cs="Times New Roman"/>
                <w:bCs/>
                <w:szCs w:val="24"/>
                <w:lang w:eastAsia="zh-CN"/>
              </w:rPr>
            </w:pPr>
            <w:r w:rsidRPr="0032034B">
              <w:rPr>
                <w:rFonts w:eastAsia="Times New Roman" w:cs="Times New Roman"/>
                <w:bCs/>
                <w:szCs w:val="24"/>
                <w:lang w:eastAsia="zh-CN"/>
              </w:rPr>
              <w:t>Latvijas ilgtspējīgas attīstības stratēģija līdz 2030.gadam (</w:t>
            </w:r>
            <w:hyperlink r:id="rId22" w:tgtFrame="_blank" w:history="1">
              <w:r w:rsidRPr="0032034B">
                <w:rPr>
                  <w:rFonts w:eastAsia="Times New Roman" w:cs="Times New Roman"/>
                  <w:bCs/>
                  <w:szCs w:val="24"/>
                  <w:lang w:eastAsia="zh-CN"/>
                </w:rPr>
                <w:t>Saeimas paziņojums 10.06.2010</w:t>
              </w:r>
            </w:hyperlink>
            <w:r w:rsidRPr="0032034B">
              <w:rPr>
                <w:rFonts w:eastAsia="Times New Roman" w:cs="Times New Roman"/>
                <w:bCs/>
                <w:szCs w:val="24"/>
                <w:lang w:eastAsia="zh-CN"/>
              </w:rPr>
              <w:t>.)</w:t>
            </w:r>
          </w:p>
        </w:tc>
        <w:tc>
          <w:tcPr>
            <w:tcW w:w="4501" w:type="dxa"/>
          </w:tcPr>
          <w:p w:rsidR="00EB35EE" w:rsidRPr="0032034B" w:rsidRDefault="00EB35EE" w:rsidP="006B367A">
            <w:pPr>
              <w:spacing w:before="40" w:after="40"/>
              <w:ind w:left="18" w:right="57" w:firstLine="0"/>
              <w:rPr>
                <w:rFonts w:eastAsia="Times New Roman" w:cs="Times New Roman"/>
                <w:szCs w:val="24"/>
              </w:rPr>
            </w:pPr>
            <w:r w:rsidRPr="0032034B">
              <w:rPr>
                <w:rFonts w:eastAsia="Times New Roman" w:cs="Times New Roman"/>
                <w:szCs w:val="24"/>
              </w:rPr>
              <w:t xml:space="preserve">Inovatīva un efektīva ekonomika, dabas resursu gudra izmantošana,  iekļaušanās starptautiskajā  apritē un ieguldījumi cilvēkkapitālā ir tās prioritātes, kuras ir saistāmas ar </w:t>
            </w:r>
            <w:r w:rsidR="006B367A" w:rsidRPr="0032034B">
              <w:rPr>
                <w:rFonts w:eastAsia="Times New Roman" w:cs="Times New Roman"/>
                <w:szCs w:val="24"/>
              </w:rPr>
              <w:t>Nacionālo industriālo politiku</w:t>
            </w:r>
            <w:r w:rsidRPr="0032034B">
              <w:rPr>
                <w:rFonts w:eastAsia="Times New Roman" w:cs="Times New Roman"/>
                <w:szCs w:val="24"/>
              </w:rPr>
              <w:t xml:space="preserve">. </w:t>
            </w:r>
          </w:p>
        </w:tc>
      </w:tr>
      <w:tr w:rsidR="00805FA2" w:rsidRPr="00E67A0E" w:rsidTr="001A1FC0">
        <w:tc>
          <w:tcPr>
            <w:tcW w:w="675" w:type="dxa"/>
          </w:tcPr>
          <w:p w:rsidR="00805FA2" w:rsidRPr="0032034B" w:rsidRDefault="00805FA2" w:rsidP="00EB35EE">
            <w:pPr>
              <w:ind w:right="-143" w:firstLine="0"/>
              <w:rPr>
                <w:rFonts w:eastAsia="Times New Roman" w:cs="Times New Roman"/>
                <w:szCs w:val="24"/>
                <w:lang w:eastAsia="zh-CN"/>
              </w:rPr>
            </w:pPr>
            <w:r w:rsidRPr="0032034B">
              <w:rPr>
                <w:rFonts w:eastAsia="Times New Roman" w:cs="Times New Roman"/>
                <w:szCs w:val="24"/>
                <w:lang w:eastAsia="zh-CN"/>
              </w:rPr>
              <w:t>2.</w:t>
            </w:r>
          </w:p>
        </w:tc>
        <w:tc>
          <w:tcPr>
            <w:tcW w:w="3969" w:type="dxa"/>
          </w:tcPr>
          <w:p w:rsidR="00805FA2" w:rsidRPr="0032034B" w:rsidRDefault="00805FA2" w:rsidP="00EB35EE">
            <w:pPr>
              <w:ind w:firstLine="0"/>
              <w:jc w:val="left"/>
              <w:rPr>
                <w:rFonts w:eastAsia="Times New Roman" w:cs="Times New Roman"/>
                <w:bCs/>
                <w:szCs w:val="24"/>
                <w:lang w:eastAsia="zh-CN"/>
              </w:rPr>
            </w:pPr>
            <w:r w:rsidRPr="0032034B">
              <w:rPr>
                <w:rFonts w:eastAsia="Times New Roman" w:cs="Times New Roman"/>
                <w:bCs/>
                <w:szCs w:val="24"/>
                <w:lang w:eastAsia="zh-CN"/>
              </w:rPr>
              <w:t>Latvijas Nacionālais attīstības plāns 2014.-2020.gadam</w:t>
            </w:r>
          </w:p>
          <w:p w:rsidR="0032034B" w:rsidRPr="0032034B" w:rsidRDefault="0032034B" w:rsidP="0032034B">
            <w:pPr>
              <w:ind w:firstLine="0"/>
              <w:jc w:val="left"/>
              <w:rPr>
                <w:rFonts w:eastAsia="Times New Roman" w:cs="Times New Roman"/>
                <w:bCs/>
                <w:szCs w:val="24"/>
                <w:lang w:eastAsia="zh-CN"/>
              </w:rPr>
            </w:pPr>
            <w:r w:rsidRPr="0032034B">
              <w:rPr>
                <w:rFonts w:eastAsia="Times New Roman" w:cs="Times New Roman"/>
                <w:bCs/>
                <w:szCs w:val="24"/>
                <w:lang w:eastAsia="zh-CN"/>
              </w:rPr>
              <w:t>(</w:t>
            </w:r>
            <w:hyperlink r:id="rId23" w:tgtFrame="_blank" w:history="1">
              <w:r w:rsidRPr="0032034B">
                <w:rPr>
                  <w:rFonts w:eastAsia="Times New Roman" w:cs="Times New Roman"/>
                  <w:bCs/>
                  <w:szCs w:val="24"/>
                  <w:lang w:eastAsia="zh-CN"/>
                </w:rPr>
                <w:t>Saeimas paziņojums 20.12.</w:t>
              </w:r>
              <w:r w:rsidRPr="0032034B">
                <w:rPr>
                  <w:rFonts w:cs="Times New Roman"/>
                  <w:szCs w:val="28"/>
                </w:rPr>
                <w:t>2012.</w:t>
              </w:r>
            </w:hyperlink>
            <w:r w:rsidRPr="0032034B">
              <w:rPr>
                <w:rFonts w:eastAsia="Times New Roman" w:cs="Times New Roman"/>
                <w:bCs/>
                <w:szCs w:val="24"/>
                <w:lang w:eastAsia="zh-CN"/>
              </w:rPr>
              <w:t>)</w:t>
            </w:r>
          </w:p>
        </w:tc>
        <w:tc>
          <w:tcPr>
            <w:tcW w:w="4501" w:type="dxa"/>
          </w:tcPr>
          <w:p w:rsidR="00805FA2" w:rsidRPr="0032034B" w:rsidRDefault="00805FA2" w:rsidP="006B367A">
            <w:pPr>
              <w:autoSpaceDE w:val="0"/>
              <w:autoSpaceDN w:val="0"/>
              <w:adjustRightInd w:val="0"/>
              <w:ind w:left="18" w:firstLine="34"/>
              <w:rPr>
                <w:rFonts w:eastAsia="Times New Roman" w:cs="Times New Roman"/>
                <w:szCs w:val="24"/>
                <w:lang w:eastAsia="zh-CN"/>
              </w:rPr>
            </w:pPr>
            <w:r w:rsidRPr="0032034B">
              <w:rPr>
                <w:rFonts w:eastAsia="Times New Roman" w:cs="Times New Roman"/>
                <w:szCs w:val="24"/>
                <w:lang w:eastAsia="zh-CN"/>
              </w:rPr>
              <w:t xml:space="preserve">Nacionālais attīstības plāns, nosaka vidēja termiņa attīstības virzienu un </w:t>
            </w:r>
            <w:r w:rsidR="006B367A" w:rsidRPr="0032034B">
              <w:rPr>
                <w:rFonts w:eastAsia="Times New Roman" w:cs="Times New Roman"/>
                <w:szCs w:val="24"/>
                <w:lang w:eastAsia="zh-CN"/>
              </w:rPr>
              <w:t>p</w:t>
            </w:r>
            <w:r w:rsidRPr="0032034B">
              <w:rPr>
                <w:rFonts w:eastAsia="Times New Roman" w:cs="Times New Roman"/>
                <w:szCs w:val="24"/>
                <w:lang w:eastAsia="zh-CN"/>
              </w:rPr>
              <w:t xml:space="preserve">rioritātes, kā arī iezīmē veicamos </w:t>
            </w:r>
            <w:r w:rsidR="006B367A" w:rsidRPr="0032034B">
              <w:rPr>
                <w:rFonts w:eastAsia="Times New Roman" w:cs="Times New Roman"/>
                <w:szCs w:val="24"/>
                <w:lang w:eastAsia="zh-CN"/>
              </w:rPr>
              <w:t>valsts atbalsta un investīciju pasākumus</w:t>
            </w:r>
          </w:p>
        </w:tc>
      </w:tr>
      <w:tr w:rsidR="00EB35EE" w:rsidRPr="00E67A0E" w:rsidTr="001A1FC0">
        <w:tc>
          <w:tcPr>
            <w:tcW w:w="675" w:type="dxa"/>
          </w:tcPr>
          <w:p w:rsidR="00EB35EE" w:rsidRPr="00E67A0E" w:rsidRDefault="00805FA2" w:rsidP="00EB35EE">
            <w:pPr>
              <w:ind w:right="-143" w:firstLine="0"/>
              <w:rPr>
                <w:rFonts w:eastAsia="Times New Roman" w:cs="Times New Roman"/>
                <w:szCs w:val="24"/>
                <w:lang w:eastAsia="zh-CN"/>
              </w:rPr>
            </w:pPr>
            <w:r>
              <w:rPr>
                <w:rFonts w:eastAsia="Times New Roman" w:cs="Times New Roman"/>
                <w:szCs w:val="24"/>
                <w:lang w:eastAsia="zh-CN"/>
              </w:rPr>
              <w:t>3</w:t>
            </w:r>
            <w:r w:rsidR="00EB35EE" w:rsidRPr="00E67A0E">
              <w:rPr>
                <w:rFonts w:eastAsia="Times New Roman" w:cs="Times New Roman"/>
                <w:szCs w:val="24"/>
                <w:lang w:eastAsia="zh-CN"/>
              </w:rPr>
              <w:t>.</w:t>
            </w:r>
          </w:p>
        </w:tc>
        <w:tc>
          <w:tcPr>
            <w:tcW w:w="3969" w:type="dxa"/>
          </w:tcPr>
          <w:p w:rsidR="00EB35EE" w:rsidRPr="00E67A0E" w:rsidRDefault="00EB35EE" w:rsidP="00EB35EE">
            <w:pPr>
              <w:ind w:firstLine="0"/>
              <w:jc w:val="left"/>
              <w:rPr>
                <w:rFonts w:eastAsia="Times New Roman" w:cs="Times New Roman"/>
                <w:szCs w:val="24"/>
                <w:lang w:eastAsia="zh-CN"/>
              </w:rPr>
            </w:pPr>
            <w:r w:rsidRPr="00E67A0E">
              <w:rPr>
                <w:rFonts w:eastAsia="Times New Roman" w:cs="Times New Roman"/>
                <w:bCs/>
                <w:szCs w:val="24"/>
                <w:lang w:eastAsia="zh-CN"/>
              </w:rPr>
              <w:t xml:space="preserve">Latvijas Stratēģiskās attīstības </w:t>
            </w:r>
            <w:r w:rsidRPr="00E67A0E">
              <w:rPr>
                <w:rFonts w:eastAsia="Times New Roman" w:cs="Times New Roman"/>
                <w:bCs/>
                <w:szCs w:val="24"/>
                <w:lang w:eastAsia="zh-CN"/>
              </w:rPr>
              <w:lastRenderedPageBreak/>
              <w:t xml:space="preserve">plāns 2010.–2013.gadam </w:t>
            </w:r>
            <w:bookmarkStart w:id="46" w:name="359783"/>
            <w:r w:rsidRPr="00E67A0E">
              <w:rPr>
                <w:rFonts w:eastAsia="Times New Roman" w:cs="Times New Roman"/>
                <w:szCs w:val="24"/>
                <w:lang w:eastAsia="zh-CN"/>
              </w:rPr>
              <w:t>(Apstiprināts ar Ministru kabineta 2010.gada 9.aprīļa rīkojumu Nr.203)</w:t>
            </w:r>
            <w:bookmarkEnd w:id="46"/>
          </w:p>
        </w:tc>
        <w:tc>
          <w:tcPr>
            <w:tcW w:w="4501" w:type="dxa"/>
          </w:tcPr>
          <w:p w:rsidR="00EB35EE" w:rsidRPr="00E67A0E" w:rsidRDefault="00EB35EE" w:rsidP="00EB35EE">
            <w:pPr>
              <w:autoSpaceDE w:val="0"/>
              <w:autoSpaceDN w:val="0"/>
              <w:adjustRightInd w:val="0"/>
              <w:ind w:left="18" w:firstLine="34"/>
              <w:rPr>
                <w:rFonts w:eastAsia="PMingLiU" w:cs="Times New Roman"/>
                <w:szCs w:val="24"/>
                <w:lang w:eastAsia="zh-CN"/>
              </w:rPr>
            </w:pPr>
            <w:r w:rsidRPr="00E67A0E">
              <w:rPr>
                <w:rFonts w:eastAsia="Times New Roman" w:cs="Times New Roman"/>
                <w:szCs w:val="24"/>
                <w:lang w:eastAsia="zh-CN"/>
              </w:rPr>
              <w:lastRenderedPageBreak/>
              <w:t xml:space="preserve">Noteikti 3 galvenie vidēja termiņa </w:t>
            </w:r>
            <w:r w:rsidRPr="00E67A0E">
              <w:rPr>
                <w:rFonts w:eastAsia="Times New Roman" w:cs="Times New Roman"/>
                <w:szCs w:val="24"/>
                <w:lang w:eastAsia="zh-CN"/>
              </w:rPr>
              <w:lastRenderedPageBreak/>
              <w:t>rīcības virzieni – ekonomiskās izaugsmes veicināšana, sociālā drošība un publiskās pārvaldes reforma, kuru mērķis ir kāpināt valsts konkurētspēju.</w:t>
            </w:r>
          </w:p>
        </w:tc>
      </w:tr>
      <w:tr w:rsidR="00EB35EE" w:rsidRPr="00E67A0E" w:rsidTr="001A1FC0">
        <w:tc>
          <w:tcPr>
            <w:tcW w:w="675" w:type="dxa"/>
          </w:tcPr>
          <w:p w:rsidR="00EB35EE" w:rsidRPr="00E67A0E" w:rsidRDefault="00805FA2" w:rsidP="00EB35EE">
            <w:pPr>
              <w:ind w:right="-143" w:firstLine="0"/>
              <w:rPr>
                <w:rFonts w:eastAsia="Times New Roman" w:cs="Times New Roman"/>
                <w:szCs w:val="24"/>
                <w:lang w:eastAsia="zh-CN"/>
              </w:rPr>
            </w:pPr>
            <w:r>
              <w:rPr>
                <w:rFonts w:eastAsia="Times New Roman" w:cs="Times New Roman"/>
                <w:szCs w:val="24"/>
                <w:lang w:eastAsia="zh-CN"/>
              </w:rPr>
              <w:lastRenderedPageBreak/>
              <w:t>4</w:t>
            </w:r>
            <w:r w:rsidR="00EB35EE" w:rsidRPr="00E67A0E">
              <w:rPr>
                <w:rFonts w:eastAsia="Times New Roman" w:cs="Times New Roman"/>
                <w:szCs w:val="24"/>
                <w:lang w:eastAsia="zh-CN"/>
              </w:rPr>
              <w:t>.</w:t>
            </w:r>
          </w:p>
        </w:tc>
        <w:tc>
          <w:tcPr>
            <w:tcW w:w="3969" w:type="dxa"/>
          </w:tcPr>
          <w:p w:rsidR="00EB35EE" w:rsidRPr="00E67A0E" w:rsidRDefault="00EB35EE" w:rsidP="001A1FC0">
            <w:pPr>
              <w:ind w:right="33" w:firstLine="0"/>
              <w:jc w:val="left"/>
              <w:rPr>
                <w:rFonts w:eastAsia="Times New Roman" w:cs="Times New Roman"/>
                <w:szCs w:val="24"/>
                <w:lang w:eastAsia="zh-CN"/>
              </w:rPr>
            </w:pPr>
            <w:r w:rsidRPr="00E67A0E">
              <w:rPr>
                <w:rFonts w:eastAsia="Times New Roman" w:cs="Times New Roman"/>
                <w:bCs/>
                <w:szCs w:val="24"/>
                <w:lang w:eastAsia="zh-CN"/>
              </w:rPr>
              <w:t xml:space="preserve">Latvijas nacionālā reformu programma „ES 2020” stratēģijas īstenošanai (MK </w:t>
            </w:r>
            <w:r w:rsidRPr="00E67A0E">
              <w:rPr>
                <w:rFonts w:eastAsia="Times New Roman" w:cs="Times New Roman"/>
                <w:szCs w:val="24"/>
                <w:lang w:eastAsia="zh-CN"/>
              </w:rPr>
              <w:t>2011.gada 26.aprīļa  sēdes protokols Nr.27; 34.§)</w:t>
            </w:r>
          </w:p>
        </w:tc>
        <w:tc>
          <w:tcPr>
            <w:tcW w:w="4501" w:type="dxa"/>
          </w:tcPr>
          <w:p w:rsidR="00EB35EE" w:rsidRPr="00E67A0E" w:rsidRDefault="00EB35EE" w:rsidP="00EB35EE">
            <w:pPr>
              <w:ind w:firstLine="4"/>
              <w:rPr>
                <w:rFonts w:eastAsia="Times New Roman" w:cs="Times New Roman"/>
                <w:szCs w:val="24"/>
                <w:lang w:eastAsia="zh-CN"/>
              </w:rPr>
            </w:pPr>
            <w:r w:rsidRPr="00E67A0E">
              <w:rPr>
                <w:rFonts w:eastAsia="Times New Roman" w:cs="Times New Roman"/>
                <w:szCs w:val="24"/>
                <w:lang w:eastAsia="zh-CN"/>
              </w:rPr>
              <w:t>Ietver vidēja termiņa makroekonomisko scenāriju, nosakot galvenos politikas veidošanas pasākumus sabalansētas tautsaimniecības attīstības veidošanai.</w:t>
            </w:r>
          </w:p>
        </w:tc>
      </w:tr>
      <w:tr w:rsidR="00EB35EE" w:rsidRPr="00E67A0E" w:rsidTr="001A1FC0">
        <w:tc>
          <w:tcPr>
            <w:tcW w:w="675" w:type="dxa"/>
          </w:tcPr>
          <w:p w:rsidR="00EB35EE" w:rsidRPr="00E67A0E" w:rsidRDefault="00805FA2" w:rsidP="00EB35EE">
            <w:pPr>
              <w:ind w:right="-143" w:firstLine="0"/>
              <w:rPr>
                <w:rFonts w:eastAsia="Times New Roman" w:cs="Times New Roman"/>
                <w:szCs w:val="24"/>
                <w:lang w:eastAsia="zh-CN"/>
              </w:rPr>
            </w:pPr>
            <w:r>
              <w:rPr>
                <w:rFonts w:eastAsia="Times New Roman" w:cs="Times New Roman"/>
                <w:szCs w:val="24"/>
                <w:lang w:eastAsia="zh-CN"/>
              </w:rPr>
              <w:t>5</w:t>
            </w:r>
            <w:r w:rsidR="00EB35EE" w:rsidRPr="00E67A0E">
              <w:rPr>
                <w:rFonts w:eastAsia="Times New Roman" w:cs="Times New Roman"/>
                <w:szCs w:val="24"/>
                <w:lang w:eastAsia="zh-CN"/>
              </w:rPr>
              <w:t>.</w:t>
            </w:r>
          </w:p>
        </w:tc>
        <w:tc>
          <w:tcPr>
            <w:tcW w:w="3969" w:type="dxa"/>
          </w:tcPr>
          <w:p w:rsidR="00EB35EE" w:rsidRPr="00E67A0E" w:rsidRDefault="00EB35EE" w:rsidP="001A1FC0">
            <w:pPr>
              <w:ind w:firstLine="0"/>
              <w:jc w:val="left"/>
              <w:rPr>
                <w:rFonts w:eastAsia="Times New Roman" w:cs="Times New Roman"/>
                <w:szCs w:val="24"/>
                <w:lang w:eastAsia="zh-CN"/>
              </w:rPr>
            </w:pPr>
            <w:r w:rsidRPr="00E67A0E">
              <w:rPr>
                <w:rFonts w:eastAsia="Times New Roman" w:cs="Times New Roman"/>
                <w:szCs w:val="24"/>
                <w:lang w:eastAsia="zh-CN"/>
              </w:rPr>
              <w:t>Komercdarbības konkurētspējas un inovācijas veicināšanas programma 2007. – 2013.gadam (MK 28.06.2007. rīkojums Nr.406)</w:t>
            </w:r>
          </w:p>
        </w:tc>
        <w:tc>
          <w:tcPr>
            <w:tcW w:w="4501" w:type="dxa"/>
          </w:tcPr>
          <w:p w:rsidR="00EB35EE" w:rsidRPr="00E67A0E" w:rsidRDefault="00EB35EE" w:rsidP="001A1FC0">
            <w:pPr>
              <w:ind w:left="34" w:firstLine="0"/>
              <w:rPr>
                <w:rFonts w:eastAsia="Times New Roman" w:cs="Times New Roman"/>
                <w:szCs w:val="24"/>
                <w:lang w:eastAsia="zh-CN"/>
              </w:rPr>
            </w:pPr>
            <w:r w:rsidRPr="00E67A0E">
              <w:rPr>
                <w:rFonts w:eastAsia="Times New Roman" w:cs="Times New Roman"/>
                <w:szCs w:val="24"/>
                <w:lang w:eastAsia="zh-CN"/>
              </w:rPr>
              <w:t>Nosaka uzdevumus komercdarbības konkurētspējas veicināšanai, inovācijas attīstībai, rūpniecības attīstībai.</w:t>
            </w:r>
          </w:p>
          <w:p w:rsidR="00EB35EE" w:rsidRPr="00E67A0E" w:rsidRDefault="00EB35EE" w:rsidP="001A1FC0">
            <w:pPr>
              <w:spacing w:after="120"/>
              <w:ind w:firstLine="34"/>
              <w:rPr>
                <w:rFonts w:eastAsia="Times New Roman" w:cs="Times New Roman"/>
                <w:szCs w:val="24"/>
                <w:lang w:eastAsia="zh-CN"/>
              </w:rPr>
            </w:pPr>
          </w:p>
        </w:tc>
      </w:tr>
      <w:tr w:rsidR="00EB35EE" w:rsidRPr="00E67A0E" w:rsidTr="001A1FC0">
        <w:tc>
          <w:tcPr>
            <w:tcW w:w="675" w:type="dxa"/>
          </w:tcPr>
          <w:p w:rsidR="00EB35EE" w:rsidRPr="00E67A0E" w:rsidRDefault="00805FA2" w:rsidP="00EB35EE">
            <w:pPr>
              <w:ind w:right="-143" w:firstLine="0"/>
              <w:rPr>
                <w:rFonts w:eastAsia="Times New Roman" w:cs="Times New Roman"/>
                <w:szCs w:val="24"/>
                <w:lang w:eastAsia="zh-CN"/>
              </w:rPr>
            </w:pPr>
            <w:r>
              <w:rPr>
                <w:rFonts w:eastAsia="Times New Roman" w:cs="Times New Roman"/>
                <w:szCs w:val="24"/>
                <w:lang w:eastAsia="zh-CN"/>
              </w:rPr>
              <w:t>6</w:t>
            </w:r>
            <w:r w:rsidR="00EB35EE" w:rsidRPr="00E67A0E">
              <w:rPr>
                <w:rFonts w:eastAsia="Times New Roman" w:cs="Times New Roman"/>
                <w:szCs w:val="24"/>
                <w:lang w:eastAsia="zh-CN"/>
              </w:rPr>
              <w:t>.</w:t>
            </w:r>
          </w:p>
        </w:tc>
        <w:tc>
          <w:tcPr>
            <w:tcW w:w="3969" w:type="dxa"/>
          </w:tcPr>
          <w:p w:rsidR="008A1A77" w:rsidRPr="00C03033" w:rsidRDefault="009725BC" w:rsidP="008A1A77">
            <w:pPr>
              <w:ind w:right="33" w:firstLine="0"/>
              <w:jc w:val="left"/>
              <w:rPr>
                <w:rFonts w:eastAsia="Times New Roman" w:cs="Times New Roman"/>
                <w:szCs w:val="24"/>
                <w:lang w:eastAsia="zh-CN"/>
              </w:rPr>
            </w:pPr>
            <w:r>
              <w:fldChar w:fldCharType="begin"/>
            </w:r>
            <w:r>
              <w:instrText xml:space="preserve"> HYPERLINK "http://polsis.mk.gov.lv/view.do?id=3574" \t "_blank" </w:instrText>
            </w:r>
            <w:r>
              <w:fldChar w:fldCharType="separate"/>
            </w:r>
            <w:r w:rsidR="00EB35EE" w:rsidRPr="00E67A0E">
              <w:rPr>
                <w:rFonts w:eastAsia="Times New Roman" w:cs="Times New Roman"/>
                <w:szCs w:val="24"/>
                <w:lang w:eastAsia="zh-CN"/>
              </w:rPr>
              <w:t>Uzņēmējdarbības vides uzlabošanas pasākumu plāns 201</w:t>
            </w:r>
            <w:r w:rsidR="0032034B">
              <w:rPr>
                <w:rFonts w:eastAsia="Times New Roman" w:cs="Times New Roman"/>
                <w:szCs w:val="24"/>
                <w:lang w:eastAsia="zh-CN"/>
              </w:rPr>
              <w:t>3</w:t>
            </w:r>
            <w:r w:rsidR="00EB35EE" w:rsidRPr="00E67A0E">
              <w:rPr>
                <w:rFonts w:eastAsia="Times New Roman" w:cs="Times New Roman"/>
                <w:szCs w:val="24"/>
                <w:lang w:eastAsia="zh-CN"/>
              </w:rPr>
              <w:t>.</w:t>
            </w:r>
            <w:r>
              <w:rPr>
                <w:rFonts w:eastAsia="Times New Roman" w:cs="Times New Roman"/>
                <w:szCs w:val="24"/>
                <w:lang w:eastAsia="zh-CN"/>
              </w:rPr>
              <w:t>-2014.</w:t>
            </w:r>
            <w:r w:rsidR="00EB35EE" w:rsidRPr="00E67A0E">
              <w:rPr>
                <w:rFonts w:eastAsia="Times New Roman" w:cs="Times New Roman"/>
                <w:szCs w:val="24"/>
                <w:lang w:eastAsia="zh-CN"/>
              </w:rPr>
              <w:t>gadam (</w:t>
            </w:r>
            <w:r w:rsidR="008A1A77">
              <w:rPr>
                <w:rFonts w:eastAsia="Times New Roman" w:cs="Times New Roman"/>
                <w:szCs w:val="24"/>
                <w:lang w:eastAsia="zh-CN"/>
              </w:rPr>
              <w:t>izskatīts Ministru kabineta</w:t>
            </w:r>
            <w:r w:rsidR="008A1A77" w:rsidRPr="00C03033">
              <w:rPr>
                <w:rFonts w:eastAsia="Times New Roman" w:cs="Times New Roman"/>
                <w:szCs w:val="24"/>
                <w:lang w:eastAsia="zh-CN"/>
              </w:rPr>
              <w:tab/>
            </w:r>
          </w:p>
          <w:p w:rsidR="00EB35EE" w:rsidRPr="00E67A0E" w:rsidRDefault="008A1A77" w:rsidP="008A1A77">
            <w:pPr>
              <w:ind w:right="33" w:firstLine="0"/>
              <w:jc w:val="left"/>
              <w:rPr>
                <w:rFonts w:eastAsia="Times New Roman" w:cs="Times New Roman"/>
                <w:szCs w:val="24"/>
                <w:lang w:eastAsia="zh-CN"/>
              </w:rPr>
            </w:pPr>
            <w:r>
              <w:rPr>
                <w:rFonts w:eastAsia="Times New Roman" w:cs="Times New Roman"/>
                <w:szCs w:val="24"/>
                <w:lang w:eastAsia="zh-CN"/>
              </w:rPr>
              <w:t>09.04</w:t>
            </w:r>
            <w:r w:rsidRPr="00C03033">
              <w:rPr>
                <w:rFonts w:eastAsia="Times New Roman" w:cs="Times New Roman"/>
                <w:szCs w:val="24"/>
                <w:lang w:eastAsia="zh-CN"/>
              </w:rPr>
              <w:t>.2013</w:t>
            </w:r>
            <w:r>
              <w:rPr>
                <w:rFonts w:eastAsia="Times New Roman" w:cs="Times New Roman"/>
                <w:szCs w:val="24"/>
                <w:lang w:eastAsia="zh-CN"/>
              </w:rPr>
              <w:t xml:space="preserve"> sēdē, protokols Nr.18, 33</w:t>
            </w:r>
            <w:r w:rsidRPr="004B57AD">
              <w:rPr>
                <w:rFonts w:eastAsia="Times New Roman" w:cs="Times New Roman"/>
                <w:szCs w:val="24"/>
                <w:lang w:eastAsia="zh-CN"/>
              </w:rPr>
              <w:t>.§</w:t>
            </w:r>
            <w:r w:rsidR="00EB35EE" w:rsidRPr="00E67A0E">
              <w:rPr>
                <w:rFonts w:eastAsia="Times New Roman" w:cs="Times New Roman"/>
                <w:szCs w:val="24"/>
                <w:lang w:eastAsia="zh-CN"/>
              </w:rPr>
              <w:t>)</w:t>
            </w:r>
            <w:r w:rsidR="009725BC">
              <w:rPr>
                <w:rFonts w:eastAsia="Times New Roman" w:cs="Times New Roman"/>
                <w:szCs w:val="24"/>
                <w:lang w:eastAsia="zh-CN"/>
              </w:rPr>
              <w:fldChar w:fldCharType="end"/>
            </w:r>
          </w:p>
          <w:p w:rsidR="00EB35EE" w:rsidRPr="00E67A0E" w:rsidRDefault="00EB35EE" w:rsidP="001A1FC0">
            <w:pPr>
              <w:ind w:firstLine="0"/>
              <w:jc w:val="left"/>
              <w:rPr>
                <w:rFonts w:eastAsia="Times New Roman" w:cs="Times New Roman"/>
                <w:szCs w:val="24"/>
                <w:lang w:eastAsia="zh-CN"/>
              </w:rPr>
            </w:pPr>
          </w:p>
          <w:p w:rsidR="00EB35EE" w:rsidRPr="00E67A0E" w:rsidRDefault="00EB35EE" w:rsidP="001A1FC0">
            <w:pPr>
              <w:ind w:right="33" w:firstLine="0"/>
              <w:jc w:val="left"/>
              <w:rPr>
                <w:rFonts w:eastAsia="Times New Roman" w:cs="Times New Roman"/>
                <w:szCs w:val="24"/>
                <w:lang w:eastAsia="zh-CN"/>
              </w:rPr>
            </w:pPr>
          </w:p>
        </w:tc>
        <w:tc>
          <w:tcPr>
            <w:tcW w:w="4501" w:type="dxa"/>
          </w:tcPr>
          <w:p w:rsidR="00EB35EE" w:rsidRPr="00E67A0E" w:rsidRDefault="00EB35EE" w:rsidP="001A1FC0">
            <w:pPr>
              <w:spacing w:after="60"/>
              <w:ind w:firstLine="34"/>
              <w:rPr>
                <w:rFonts w:eastAsia="Times New Roman" w:cs="Times New Roman"/>
                <w:szCs w:val="24"/>
                <w:lang w:eastAsia="zh-CN"/>
              </w:rPr>
            </w:pPr>
            <w:r w:rsidRPr="00E67A0E">
              <w:rPr>
                <w:rFonts w:eastAsia="Times New Roman" w:cs="Times New Roman"/>
                <w:bCs/>
                <w:szCs w:val="24"/>
                <w:lang w:eastAsia="zh-CN"/>
              </w:rPr>
              <w:t xml:space="preserve">Lai pozicionētu Latviju kā uzņēmējdarbībai un investīcijām labvēlīgu tautsaimniecību, izvirzīti uz tautsaimniecības attīstību ilgtermiņā vērsti pasākumi, kuriem ir ietekme uz Latvijas </w:t>
            </w:r>
            <w:r w:rsidRPr="00E67A0E">
              <w:rPr>
                <w:rFonts w:eastAsia="Times New Roman" w:cs="Times New Roman"/>
                <w:bCs/>
                <w:i/>
                <w:iCs/>
                <w:szCs w:val="24"/>
                <w:lang w:eastAsia="zh-CN"/>
              </w:rPr>
              <w:t>Doing Business</w:t>
            </w:r>
            <w:r w:rsidRPr="00E67A0E">
              <w:rPr>
                <w:rFonts w:eastAsia="Times New Roman" w:cs="Times New Roman"/>
                <w:bCs/>
                <w:szCs w:val="24"/>
                <w:lang w:eastAsia="zh-CN"/>
              </w:rPr>
              <w:t xml:space="preserve"> pētījuma rādītājiem.</w:t>
            </w:r>
          </w:p>
        </w:tc>
      </w:tr>
      <w:tr w:rsidR="00EB35EE" w:rsidRPr="00E67A0E" w:rsidTr="001A1FC0">
        <w:tc>
          <w:tcPr>
            <w:tcW w:w="675" w:type="dxa"/>
          </w:tcPr>
          <w:p w:rsidR="00EB35EE" w:rsidRPr="00E67A0E" w:rsidRDefault="00805FA2" w:rsidP="00EB35EE">
            <w:pPr>
              <w:ind w:right="-143" w:firstLine="0"/>
              <w:rPr>
                <w:rFonts w:eastAsia="Times New Roman" w:cs="Times New Roman"/>
                <w:szCs w:val="24"/>
                <w:lang w:eastAsia="zh-CN"/>
              </w:rPr>
            </w:pPr>
            <w:r>
              <w:rPr>
                <w:rFonts w:eastAsia="Times New Roman" w:cs="Times New Roman"/>
                <w:szCs w:val="24"/>
                <w:lang w:eastAsia="zh-CN"/>
              </w:rPr>
              <w:t>7</w:t>
            </w:r>
            <w:r w:rsidR="00EB35EE" w:rsidRPr="00E67A0E">
              <w:rPr>
                <w:rFonts w:eastAsia="Times New Roman" w:cs="Times New Roman"/>
                <w:szCs w:val="24"/>
                <w:lang w:eastAsia="zh-CN"/>
              </w:rPr>
              <w:t>.</w:t>
            </w:r>
          </w:p>
        </w:tc>
        <w:tc>
          <w:tcPr>
            <w:tcW w:w="3969" w:type="dxa"/>
          </w:tcPr>
          <w:p w:rsidR="00EB35EE" w:rsidRPr="00E67A0E" w:rsidRDefault="007337FE" w:rsidP="00491DCF">
            <w:pPr>
              <w:ind w:right="33" w:firstLine="0"/>
              <w:jc w:val="left"/>
              <w:rPr>
                <w:rFonts w:eastAsia="Times New Roman" w:cs="Times New Roman"/>
                <w:szCs w:val="24"/>
                <w:lang w:eastAsia="zh-CN"/>
              </w:rPr>
            </w:pPr>
            <w:hyperlink r:id="rId24" w:history="1">
              <w:r w:rsidR="00EB35EE" w:rsidRPr="00E67A0E">
                <w:rPr>
                  <w:rFonts w:eastAsia="Times New Roman" w:cs="Times New Roman"/>
                  <w:szCs w:val="24"/>
                  <w:lang w:eastAsia="zh-CN"/>
                </w:rPr>
                <w:t>Transporta attīstības pamatnostādnes 2007.-2013. gadam</w:t>
              </w:r>
            </w:hyperlink>
            <w:r w:rsidR="00EB35EE" w:rsidRPr="00E67A0E">
              <w:rPr>
                <w:rFonts w:eastAsia="Times New Roman" w:cs="Times New Roman"/>
                <w:szCs w:val="24"/>
                <w:lang w:eastAsia="zh-CN"/>
              </w:rPr>
              <w:t xml:space="preserve"> </w:t>
            </w:r>
            <w:r w:rsidR="00EB35EE" w:rsidRPr="00491DCF">
              <w:rPr>
                <w:rFonts w:eastAsia="Times New Roman" w:cs="Times New Roman"/>
                <w:b/>
                <w:szCs w:val="24"/>
                <w:lang w:eastAsia="zh-CN"/>
              </w:rPr>
              <w:t>(</w:t>
            </w:r>
            <w:hyperlink r:id="rId25" w:history="1">
              <w:r w:rsidR="00EB35EE" w:rsidRPr="00491DCF">
                <w:rPr>
                  <w:rFonts w:eastAsia="Times New Roman" w:cs="Times New Roman"/>
                  <w:b/>
                  <w:szCs w:val="24"/>
                  <w:lang w:eastAsia="zh-CN"/>
                </w:rPr>
                <w:t xml:space="preserve">MK </w:t>
              </w:r>
              <w:r w:rsidR="00491DCF" w:rsidRPr="00491DCF">
                <w:rPr>
                  <w:rFonts w:eastAsia="Times New Roman" w:cs="Times New Roman"/>
                  <w:b/>
                  <w:szCs w:val="24"/>
                  <w:lang w:eastAsia="zh-CN"/>
                </w:rPr>
                <w:t>12.07.2006</w:t>
              </w:r>
              <w:r w:rsidR="00EB35EE" w:rsidRPr="00491DCF">
                <w:rPr>
                  <w:rFonts w:eastAsia="Times New Roman" w:cs="Times New Roman"/>
                  <w:b/>
                  <w:szCs w:val="24"/>
                  <w:lang w:eastAsia="zh-CN"/>
                </w:rPr>
                <w:t>. rīkojums Nr.</w:t>
              </w:r>
              <w:r w:rsidR="00491DCF" w:rsidRPr="00491DCF">
                <w:rPr>
                  <w:rFonts w:eastAsia="Times New Roman" w:cs="Times New Roman"/>
                  <w:b/>
                  <w:szCs w:val="24"/>
                  <w:lang w:eastAsia="zh-CN"/>
                </w:rPr>
                <w:t>518</w:t>
              </w:r>
            </w:hyperlink>
            <w:r w:rsidR="00EB35EE" w:rsidRPr="00491DCF">
              <w:rPr>
                <w:rFonts w:eastAsia="Times New Roman" w:cs="Times New Roman"/>
                <w:b/>
                <w:szCs w:val="24"/>
                <w:lang w:eastAsia="zh-CN"/>
              </w:rPr>
              <w:t>)</w:t>
            </w:r>
          </w:p>
        </w:tc>
        <w:tc>
          <w:tcPr>
            <w:tcW w:w="4501" w:type="dxa"/>
          </w:tcPr>
          <w:p w:rsidR="00EB35EE" w:rsidRPr="00E67A0E" w:rsidRDefault="00EB35EE" w:rsidP="001A1FC0">
            <w:pPr>
              <w:spacing w:before="120" w:after="120"/>
              <w:ind w:firstLine="0"/>
              <w:rPr>
                <w:rFonts w:eastAsia="Times New Roman" w:cs="Times New Roman"/>
                <w:szCs w:val="24"/>
                <w:lang w:eastAsia="zh-CN"/>
              </w:rPr>
            </w:pPr>
            <w:r w:rsidRPr="00E67A0E">
              <w:rPr>
                <w:rFonts w:eastAsia="Times New Roman" w:cs="Times New Roman"/>
                <w:bCs/>
                <w:szCs w:val="24"/>
                <w:lang w:eastAsia="zh-CN"/>
              </w:rPr>
              <w:t>Nosaka politikas pamatprincipus, attīstības mērķus un prioritātes transporta nozarē.</w:t>
            </w:r>
          </w:p>
        </w:tc>
      </w:tr>
      <w:tr w:rsidR="00EB35EE" w:rsidRPr="00E67A0E" w:rsidTr="001A1FC0">
        <w:tc>
          <w:tcPr>
            <w:tcW w:w="675" w:type="dxa"/>
          </w:tcPr>
          <w:p w:rsidR="00EB35EE" w:rsidRPr="00E67A0E" w:rsidRDefault="00805FA2" w:rsidP="00EB35EE">
            <w:pPr>
              <w:ind w:right="-143" w:firstLine="0"/>
              <w:rPr>
                <w:rFonts w:eastAsia="Times New Roman" w:cs="Times New Roman"/>
                <w:szCs w:val="24"/>
                <w:lang w:eastAsia="zh-CN"/>
              </w:rPr>
            </w:pPr>
            <w:r>
              <w:rPr>
                <w:rFonts w:eastAsia="Times New Roman" w:cs="Times New Roman"/>
                <w:szCs w:val="24"/>
                <w:lang w:eastAsia="zh-CN"/>
              </w:rPr>
              <w:t>8</w:t>
            </w:r>
            <w:r w:rsidR="00EB35EE" w:rsidRPr="00E67A0E">
              <w:rPr>
                <w:rFonts w:eastAsia="Times New Roman" w:cs="Times New Roman"/>
                <w:szCs w:val="24"/>
                <w:lang w:eastAsia="zh-CN"/>
              </w:rPr>
              <w:t>.</w:t>
            </w:r>
          </w:p>
        </w:tc>
        <w:tc>
          <w:tcPr>
            <w:tcW w:w="3969" w:type="dxa"/>
          </w:tcPr>
          <w:p w:rsidR="00EB35EE" w:rsidRPr="00E67A0E" w:rsidRDefault="00EB35EE" w:rsidP="00A976D2">
            <w:pPr>
              <w:ind w:right="33" w:firstLine="0"/>
              <w:jc w:val="left"/>
              <w:rPr>
                <w:rFonts w:eastAsia="Times New Roman" w:cs="Times New Roman"/>
                <w:szCs w:val="24"/>
                <w:lang w:eastAsia="zh-CN"/>
              </w:rPr>
            </w:pPr>
            <w:r w:rsidRPr="00E67A0E">
              <w:rPr>
                <w:rFonts w:eastAsia="Times New Roman" w:cs="Times New Roman"/>
                <w:szCs w:val="24"/>
                <w:lang w:eastAsia="zh-CN"/>
              </w:rPr>
              <w:t xml:space="preserve">Zinātnes un tehnoloģijas attīstības pamatnostādnes 2009.-2013. </w:t>
            </w:r>
            <w:r w:rsidR="00A976D2" w:rsidRPr="00E67A0E">
              <w:rPr>
                <w:rFonts w:eastAsia="Times New Roman" w:cs="Times New Roman"/>
                <w:szCs w:val="24"/>
                <w:lang w:eastAsia="zh-CN"/>
              </w:rPr>
              <w:t>G</w:t>
            </w:r>
            <w:r w:rsidRPr="00E67A0E">
              <w:rPr>
                <w:rFonts w:eastAsia="Times New Roman" w:cs="Times New Roman"/>
                <w:szCs w:val="24"/>
                <w:lang w:eastAsia="zh-CN"/>
              </w:rPr>
              <w:t>adam</w:t>
            </w:r>
            <w:r w:rsidR="00A976D2">
              <w:rPr>
                <w:rFonts w:eastAsia="Times New Roman" w:cs="Times New Roman"/>
                <w:szCs w:val="24"/>
                <w:lang w:eastAsia="zh-CN"/>
              </w:rPr>
              <w:t xml:space="preserve"> (MK </w:t>
            </w:r>
            <w:r w:rsidR="00A976D2" w:rsidRPr="00A976D2">
              <w:rPr>
                <w:rFonts w:eastAsia="Times New Roman" w:cs="Times New Roman"/>
                <w:szCs w:val="24"/>
                <w:lang w:eastAsia="zh-CN"/>
              </w:rPr>
              <w:t>16.09.2009. rīkojums Nr.631</w:t>
            </w:r>
            <w:r w:rsidR="00A976D2">
              <w:rPr>
                <w:rFonts w:eastAsia="Times New Roman" w:cs="Times New Roman"/>
                <w:szCs w:val="24"/>
                <w:lang w:eastAsia="zh-CN"/>
              </w:rPr>
              <w:t>)</w:t>
            </w:r>
          </w:p>
        </w:tc>
        <w:tc>
          <w:tcPr>
            <w:tcW w:w="4501" w:type="dxa"/>
          </w:tcPr>
          <w:p w:rsidR="00EB35EE" w:rsidRPr="00E67A0E" w:rsidRDefault="00EB35EE" w:rsidP="001A1FC0">
            <w:pPr>
              <w:ind w:firstLine="34"/>
              <w:rPr>
                <w:rFonts w:eastAsia="Times New Roman" w:cs="Times New Roman"/>
                <w:szCs w:val="24"/>
                <w:lang w:eastAsia="zh-CN"/>
              </w:rPr>
            </w:pPr>
            <w:r w:rsidRPr="00E67A0E">
              <w:rPr>
                <w:rFonts w:eastAsia="Times New Roman" w:cs="Times New Roman"/>
                <w:szCs w:val="24"/>
                <w:lang w:eastAsia="zh-CN"/>
              </w:rPr>
              <w:t>Nosaka valdības politikas mērķus un prioritātes zinātnes un tehnoloģijas  attīstībā, kā arī inovācijas attīstība.</w:t>
            </w:r>
          </w:p>
        </w:tc>
      </w:tr>
      <w:tr w:rsidR="00805FA2" w:rsidRPr="001B302C" w:rsidTr="001A1FC0">
        <w:tc>
          <w:tcPr>
            <w:tcW w:w="675" w:type="dxa"/>
          </w:tcPr>
          <w:p w:rsidR="00805FA2" w:rsidRPr="00491DCF" w:rsidRDefault="00805FA2" w:rsidP="00EB35EE">
            <w:pPr>
              <w:ind w:right="-143" w:firstLine="0"/>
              <w:rPr>
                <w:rFonts w:eastAsia="Times New Roman" w:cs="Times New Roman"/>
                <w:szCs w:val="24"/>
                <w:lang w:eastAsia="zh-CN"/>
              </w:rPr>
            </w:pPr>
            <w:r w:rsidRPr="00491DCF">
              <w:rPr>
                <w:rFonts w:eastAsia="Times New Roman" w:cs="Times New Roman"/>
                <w:szCs w:val="24"/>
                <w:lang w:eastAsia="zh-CN"/>
              </w:rPr>
              <w:t>9.</w:t>
            </w:r>
          </w:p>
        </w:tc>
        <w:tc>
          <w:tcPr>
            <w:tcW w:w="3969" w:type="dxa"/>
          </w:tcPr>
          <w:p w:rsidR="00805FA2" w:rsidRPr="00491DCF" w:rsidRDefault="00805FA2" w:rsidP="00B933D5">
            <w:pPr>
              <w:ind w:right="33" w:firstLine="0"/>
              <w:jc w:val="left"/>
              <w:rPr>
                <w:rFonts w:eastAsia="Times New Roman" w:cs="Times New Roman"/>
                <w:szCs w:val="24"/>
                <w:lang w:eastAsia="zh-CN"/>
              </w:rPr>
            </w:pPr>
            <w:r w:rsidRPr="00491DCF">
              <w:rPr>
                <w:rFonts w:eastAsia="Times New Roman" w:cs="Times New Roman"/>
                <w:szCs w:val="24"/>
                <w:lang w:eastAsia="zh-CN"/>
              </w:rPr>
              <w:t>Izglītības attīstības pamatnostādnes 2007. – 2013.gadam</w:t>
            </w:r>
            <w:r w:rsidR="00B933D5" w:rsidRPr="00491DCF">
              <w:rPr>
                <w:rFonts w:eastAsia="Times New Roman" w:cs="Times New Roman"/>
                <w:szCs w:val="24"/>
                <w:lang w:eastAsia="zh-CN"/>
              </w:rPr>
              <w:t xml:space="preserve"> (MK 27.09.2006. rīkojums Nr.742)</w:t>
            </w:r>
          </w:p>
        </w:tc>
        <w:tc>
          <w:tcPr>
            <w:tcW w:w="4501" w:type="dxa"/>
          </w:tcPr>
          <w:p w:rsidR="00805FA2" w:rsidRPr="00491DCF" w:rsidRDefault="006B367A" w:rsidP="001A1FC0">
            <w:pPr>
              <w:ind w:firstLine="34"/>
              <w:rPr>
                <w:rFonts w:eastAsia="Times New Roman" w:cs="Times New Roman"/>
                <w:szCs w:val="24"/>
                <w:lang w:eastAsia="zh-CN"/>
              </w:rPr>
            </w:pPr>
            <w:r w:rsidRPr="00491DCF">
              <w:rPr>
                <w:rFonts w:eastAsia="Times New Roman" w:cs="Times New Roman"/>
                <w:bCs/>
                <w:szCs w:val="24"/>
                <w:lang w:eastAsia="zh-CN"/>
              </w:rPr>
              <w:t xml:space="preserve">Nosaka </w:t>
            </w:r>
            <w:r w:rsidR="004B57AD">
              <w:rPr>
                <w:rFonts w:eastAsia="Times New Roman" w:cs="Times New Roman"/>
                <w:bCs/>
                <w:szCs w:val="24"/>
                <w:lang w:eastAsia="zh-CN"/>
              </w:rPr>
              <w:t xml:space="preserve">izglītības </w:t>
            </w:r>
            <w:r w:rsidRPr="00491DCF">
              <w:rPr>
                <w:rFonts w:eastAsia="Times New Roman" w:cs="Times New Roman"/>
                <w:bCs/>
                <w:szCs w:val="24"/>
                <w:lang w:eastAsia="zh-CN"/>
              </w:rPr>
              <w:t>politikas pamatprincipus, attīstības mērķus un prioritātes izglītības nozarē</w:t>
            </w:r>
          </w:p>
        </w:tc>
      </w:tr>
      <w:tr w:rsidR="00491DCF" w:rsidRPr="001B302C" w:rsidTr="001A1FC0">
        <w:tc>
          <w:tcPr>
            <w:tcW w:w="675" w:type="dxa"/>
          </w:tcPr>
          <w:p w:rsidR="00491DCF" w:rsidRPr="001B302C" w:rsidRDefault="00491DCF" w:rsidP="00EB35EE">
            <w:pPr>
              <w:ind w:right="-143" w:firstLine="0"/>
              <w:rPr>
                <w:rFonts w:eastAsia="Times New Roman" w:cs="Times New Roman"/>
                <w:b/>
                <w:szCs w:val="24"/>
                <w:lang w:eastAsia="zh-CN"/>
              </w:rPr>
            </w:pPr>
            <w:r>
              <w:rPr>
                <w:rFonts w:eastAsia="Times New Roman" w:cs="Times New Roman"/>
                <w:b/>
                <w:szCs w:val="24"/>
                <w:lang w:eastAsia="zh-CN"/>
              </w:rPr>
              <w:t>10.</w:t>
            </w:r>
          </w:p>
        </w:tc>
        <w:tc>
          <w:tcPr>
            <w:tcW w:w="3969" w:type="dxa"/>
          </w:tcPr>
          <w:p w:rsidR="00491DCF" w:rsidRPr="004B57AD" w:rsidRDefault="004B57AD" w:rsidP="00233605">
            <w:pPr>
              <w:ind w:right="33" w:firstLine="0"/>
              <w:jc w:val="left"/>
              <w:rPr>
                <w:rFonts w:eastAsia="Times New Roman" w:cs="Times New Roman"/>
                <w:szCs w:val="24"/>
                <w:lang w:eastAsia="zh-CN"/>
              </w:rPr>
            </w:pPr>
            <w:r w:rsidRPr="004B57AD">
              <w:rPr>
                <w:rFonts w:eastAsia="Times New Roman" w:cs="Times New Roman"/>
                <w:szCs w:val="24"/>
                <w:lang w:eastAsia="zh-CN"/>
              </w:rPr>
              <w:t xml:space="preserve">Reģionālās politikas pamatnostādņu 2013.-2019.gadam projekts (izsludināts </w:t>
            </w:r>
            <w:r w:rsidR="00233605">
              <w:rPr>
                <w:rFonts w:eastAsia="Times New Roman" w:cs="Times New Roman"/>
                <w:szCs w:val="24"/>
                <w:lang w:eastAsia="zh-CN"/>
              </w:rPr>
              <w:t>Valsts sekretāru sanāksmes</w:t>
            </w:r>
            <w:r w:rsidRPr="004B57AD">
              <w:rPr>
                <w:rFonts w:eastAsia="Times New Roman" w:cs="Times New Roman"/>
                <w:szCs w:val="24"/>
                <w:lang w:eastAsia="zh-CN"/>
              </w:rPr>
              <w:t xml:space="preserve"> 13.12.2012</w:t>
            </w:r>
            <w:r w:rsidR="00233605">
              <w:rPr>
                <w:rFonts w:eastAsia="Times New Roman" w:cs="Times New Roman"/>
                <w:szCs w:val="24"/>
                <w:lang w:eastAsia="zh-CN"/>
              </w:rPr>
              <w:t xml:space="preserve"> sēdē,</w:t>
            </w:r>
            <w:r w:rsidRPr="004B57AD">
              <w:rPr>
                <w:rFonts w:eastAsia="Times New Roman" w:cs="Times New Roman"/>
                <w:szCs w:val="24"/>
                <w:lang w:eastAsia="zh-CN"/>
              </w:rPr>
              <w:t xml:space="preserve"> protokols Nr.50;14.§)</w:t>
            </w:r>
          </w:p>
        </w:tc>
        <w:tc>
          <w:tcPr>
            <w:tcW w:w="4501" w:type="dxa"/>
          </w:tcPr>
          <w:p w:rsidR="00491DCF" w:rsidRPr="001B302C" w:rsidRDefault="004B57AD" w:rsidP="004B57AD">
            <w:pPr>
              <w:ind w:firstLine="34"/>
              <w:rPr>
                <w:rFonts w:eastAsia="Times New Roman" w:cs="Times New Roman"/>
                <w:b/>
                <w:bCs/>
                <w:szCs w:val="24"/>
                <w:lang w:eastAsia="zh-CN"/>
              </w:rPr>
            </w:pPr>
            <w:r>
              <w:rPr>
                <w:rFonts w:eastAsia="Times New Roman" w:cs="Times New Roman"/>
                <w:bCs/>
                <w:szCs w:val="24"/>
                <w:lang w:eastAsia="zh-CN"/>
              </w:rPr>
              <w:t>Nosaka politikas principus, mērķus un uzdevumus ekonomikas attīstībai vietējā un reģionālajā līmenī.</w:t>
            </w:r>
          </w:p>
        </w:tc>
      </w:tr>
      <w:tr w:rsidR="0032034B" w:rsidRPr="001B302C" w:rsidTr="001A1FC0">
        <w:tc>
          <w:tcPr>
            <w:tcW w:w="675" w:type="dxa"/>
          </w:tcPr>
          <w:p w:rsidR="0032034B" w:rsidRDefault="0032034B" w:rsidP="00EB35EE">
            <w:pPr>
              <w:ind w:right="-143" w:firstLine="0"/>
              <w:rPr>
                <w:rFonts w:eastAsia="Times New Roman" w:cs="Times New Roman"/>
                <w:b/>
                <w:szCs w:val="24"/>
                <w:lang w:eastAsia="zh-CN"/>
              </w:rPr>
            </w:pPr>
            <w:r>
              <w:rPr>
                <w:rFonts w:eastAsia="Times New Roman" w:cs="Times New Roman"/>
                <w:b/>
                <w:szCs w:val="24"/>
                <w:lang w:eastAsia="zh-CN"/>
              </w:rPr>
              <w:t>11</w:t>
            </w:r>
          </w:p>
        </w:tc>
        <w:tc>
          <w:tcPr>
            <w:tcW w:w="3969" w:type="dxa"/>
          </w:tcPr>
          <w:p w:rsidR="00C03033" w:rsidRPr="00C03033" w:rsidRDefault="0032034B" w:rsidP="00C03033">
            <w:pPr>
              <w:ind w:right="33" w:firstLine="0"/>
              <w:jc w:val="left"/>
              <w:rPr>
                <w:rFonts w:eastAsia="Times New Roman" w:cs="Times New Roman"/>
                <w:szCs w:val="24"/>
                <w:lang w:eastAsia="zh-CN"/>
              </w:rPr>
            </w:pPr>
            <w:r>
              <w:rPr>
                <w:rFonts w:eastAsia="Times New Roman" w:cs="Times New Roman"/>
                <w:szCs w:val="24"/>
                <w:lang w:eastAsia="zh-CN"/>
              </w:rPr>
              <w:t>Informatīvā ziņojuma „</w:t>
            </w:r>
            <w:r w:rsidRPr="0032034B">
              <w:rPr>
                <w:rFonts w:eastAsia="Times New Roman" w:cs="Times New Roman"/>
                <w:szCs w:val="24"/>
                <w:lang w:eastAsia="zh-CN"/>
              </w:rPr>
              <w:t xml:space="preserve">Latvijas Enerģētikas ilgtermiņa stratēģija </w:t>
            </w:r>
            <w:r w:rsidRPr="0032034B">
              <w:rPr>
                <w:rFonts w:eastAsia="Times New Roman" w:cs="Times New Roman"/>
                <w:szCs w:val="24"/>
                <w:lang w:eastAsia="zh-CN"/>
              </w:rPr>
              <w:lastRenderedPageBreak/>
              <w:t>2030 – konkurētspējīga enerģētika sabiedrībai</w:t>
            </w:r>
            <w:r>
              <w:rPr>
                <w:rFonts w:eastAsia="Times New Roman" w:cs="Times New Roman"/>
                <w:szCs w:val="24"/>
                <w:lang w:eastAsia="zh-CN"/>
              </w:rPr>
              <w:t>”</w:t>
            </w:r>
            <w:r w:rsidR="00233605">
              <w:rPr>
                <w:rFonts w:eastAsia="Times New Roman" w:cs="Times New Roman"/>
                <w:szCs w:val="24"/>
                <w:lang w:eastAsia="zh-CN"/>
              </w:rPr>
              <w:t xml:space="preserve"> (izskatīts Ministru kabineta komitejas  </w:t>
            </w:r>
            <w:r w:rsidR="00C03033" w:rsidRPr="00C03033">
              <w:rPr>
                <w:rFonts w:eastAsia="Times New Roman" w:cs="Times New Roman"/>
                <w:szCs w:val="24"/>
                <w:lang w:eastAsia="zh-CN"/>
              </w:rPr>
              <w:tab/>
            </w:r>
          </w:p>
          <w:p w:rsidR="0032034B" w:rsidRPr="004B57AD" w:rsidRDefault="00C03033" w:rsidP="00C03033">
            <w:pPr>
              <w:ind w:right="33" w:firstLine="0"/>
              <w:jc w:val="left"/>
              <w:rPr>
                <w:rFonts w:eastAsia="Times New Roman" w:cs="Times New Roman"/>
                <w:szCs w:val="24"/>
                <w:lang w:eastAsia="zh-CN"/>
              </w:rPr>
            </w:pPr>
            <w:r w:rsidRPr="00C03033">
              <w:rPr>
                <w:rFonts w:eastAsia="Times New Roman" w:cs="Times New Roman"/>
                <w:szCs w:val="24"/>
                <w:lang w:eastAsia="zh-CN"/>
              </w:rPr>
              <w:t>11.03.2013</w:t>
            </w:r>
            <w:r>
              <w:rPr>
                <w:rFonts w:eastAsia="Times New Roman" w:cs="Times New Roman"/>
                <w:szCs w:val="24"/>
                <w:lang w:eastAsia="zh-CN"/>
              </w:rPr>
              <w:t xml:space="preserve"> sēdē, protokols Nr.10, 1</w:t>
            </w:r>
            <w:r w:rsidRPr="004B57AD">
              <w:rPr>
                <w:rFonts w:eastAsia="Times New Roman" w:cs="Times New Roman"/>
                <w:szCs w:val="24"/>
                <w:lang w:eastAsia="zh-CN"/>
              </w:rPr>
              <w:t>.§</w:t>
            </w:r>
            <w:r>
              <w:rPr>
                <w:rFonts w:eastAsia="Times New Roman" w:cs="Times New Roman"/>
                <w:szCs w:val="24"/>
                <w:lang w:eastAsia="zh-CN"/>
              </w:rPr>
              <w:t>)</w:t>
            </w:r>
          </w:p>
        </w:tc>
        <w:tc>
          <w:tcPr>
            <w:tcW w:w="4501" w:type="dxa"/>
          </w:tcPr>
          <w:p w:rsidR="0032034B" w:rsidRDefault="00233605" w:rsidP="00C03033">
            <w:pPr>
              <w:ind w:firstLine="34"/>
              <w:rPr>
                <w:rFonts w:eastAsia="Times New Roman" w:cs="Times New Roman"/>
                <w:bCs/>
                <w:szCs w:val="24"/>
                <w:lang w:eastAsia="zh-CN"/>
              </w:rPr>
            </w:pPr>
            <w:r>
              <w:rPr>
                <w:rFonts w:eastAsia="Times New Roman" w:cs="Times New Roman"/>
                <w:bCs/>
                <w:szCs w:val="24"/>
                <w:lang w:eastAsia="zh-CN"/>
              </w:rPr>
              <w:lastRenderedPageBreak/>
              <w:t>Nosaka enerģētikas politikas attīstības scenāriju</w:t>
            </w:r>
          </w:p>
        </w:tc>
      </w:tr>
    </w:tbl>
    <w:p w:rsidR="00EB35EE" w:rsidRPr="00E67A0E" w:rsidRDefault="00EB35EE" w:rsidP="00EB35EE">
      <w:pPr>
        <w:ind w:right="-143" w:firstLine="567"/>
        <w:rPr>
          <w:sz w:val="26"/>
          <w:szCs w:val="26"/>
        </w:rPr>
      </w:pPr>
    </w:p>
    <w:p w:rsidR="00B17721" w:rsidRPr="00E67A0E" w:rsidRDefault="00B17721" w:rsidP="00B17721">
      <w:pPr>
        <w:ind w:firstLine="0"/>
      </w:pPr>
    </w:p>
    <w:p w:rsidR="00B7254A" w:rsidRPr="00E67A0E" w:rsidRDefault="00B7254A" w:rsidP="00B7254A">
      <w:pPr>
        <w:ind w:firstLine="0"/>
        <w:rPr>
          <w:color w:val="000000" w:themeColor="text1"/>
          <w:szCs w:val="28"/>
        </w:rPr>
      </w:pPr>
      <w:r w:rsidRPr="00E67A0E">
        <w:rPr>
          <w:color w:val="000000" w:themeColor="text1"/>
          <w:szCs w:val="28"/>
        </w:rPr>
        <w:t>Ekonomikas ministrs</w:t>
      </w:r>
      <w:r w:rsidRPr="00E67A0E">
        <w:rPr>
          <w:color w:val="000000" w:themeColor="text1"/>
          <w:szCs w:val="28"/>
        </w:rPr>
        <w:tab/>
      </w:r>
      <w:r w:rsidRPr="00E67A0E">
        <w:rPr>
          <w:color w:val="000000" w:themeColor="text1"/>
          <w:szCs w:val="28"/>
        </w:rPr>
        <w:tab/>
      </w:r>
      <w:r w:rsidRPr="00E67A0E">
        <w:rPr>
          <w:color w:val="000000" w:themeColor="text1"/>
          <w:szCs w:val="28"/>
        </w:rPr>
        <w:tab/>
      </w:r>
      <w:r w:rsidRPr="00E67A0E">
        <w:rPr>
          <w:color w:val="000000" w:themeColor="text1"/>
          <w:szCs w:val="28"/>
        </w:rPr>
        <w:tab/>
      </w:r>
      <w:r w:rsidRPr="00E67A0E">
        <w:rPr>
          <w:color w:val="000000" w:themeColor="text1"/>
          <w:szCs w:val="28"/>
        </w:rPr>
        <w:tab/>
      </w:r>
      <w:r w:rsidRPr="00E67A0E">
        <w:rPr>
          <w:color w:val="000000" w:themeColor="text1"/>
          <w:szCs w:val="28"/>
        </w:rPr>
        <w:tab/>
      </w:r>
      <w:r w:rsidRPr="00E67A0E">
        <w:rPr>
          <w:color w:val="000000" w:themeColor="text1"/>
          <w:szCs w:val="28"/>
        </w:rPr>
        <w:tab/>
      </w:r>
      <w:r w:rsidRPr="00E67A0E">
        <w:rPr>
          <w:color w:val="000000" w:themeColor="text1"/>
          <w:szCs w:val="28"/>
        </w:rPr>
        <w:tab/>
        <w:t>D.Pavļuts</w:t>
      </w:r>
    </w:p>
    <w:p w:rsidR="00B7254A" w:rsidRPr="00E67A0E" w:rsidRDefault="00B7254A" w:rsidP="00B7254A">
      <w:pPr>
        <w:ind w:firstLine="0"/>
        <w:rPr>
          <w:color w:val="000000" w:themeColor="text1"/>
          <w:szCs w:val="28"/>
        </w:rPr>
      </w:pPr>
    </w:p>
    <w:p w:rsidR="00B7254A" w:rsidRPr="00E67A0E" w:rsidRDefault="00B7254A" w:rsidP="00B7254A">
      <w:pPr>
        <w:ind w:firstLine="0"/>
        <w:rPr>
          <w:color w:val="000000" w:themeColor="text1"/>
          <w:szCs w:val="28"/>
        </w:rPr>
      </w:pPr>
    </w:p>
    <w:p w:rsidR="00B7254A" w:rsidRPr="00E67A0E" w:rsidRDefault="00B7254A" w:rsidP="00B7254A">
      <w:pPr>
        <w:ind w:firstLine="0"/>
        <w:rPr>
          <w:color w:val="000000" w:themeColor="text1"/>
          <w:szCs w:val="28"/>
        </w:rPr>
      </w:pPr>
      <w:r w:rsidRPr="00E67A0E">
        <w:rPr>
          <w:color w:val="000000" w:themeColor="text1"/>
          <w:szCs w:val="28"/>
        </w:rPr>
        <w:t>Vīza:</w:t>
      </w:r>
    </w:p>
    <w:p w:rsidR="00B7254A" w:rsidRPr="00E67A0E" w:rsidRDefault="00B7254A" w:rsidP="00B7254A">
      <w:pPr>
        <w:ind w:firstLine="0"/>
        <w:rPr>
          <w:color w:val="000000" w:themeColor="text1"/>
          <w:szCs w:val="28"/>
        </w:rPr>
      </w:pPr>
      <w:r w:rsidRPr="00E67A0E">
        <w:rPr>
          <w:color w:val="000000" w:themeColor="text1"/>
          <w:szCs w:val="28"/>
        </w:rPr>
        <w:t>Valsts sekretārs</w:t>
      </w:r>
      <w:r w:rsidRPr="00E67A0E">
        <w:rPr>
          <w:color w:val="000000" w:themeColor="text1"/>
          <w:szCs w:val="28"/>
        </w:rPr>
        <w:tab/>
      </w:r>
      <w:r w:rsidRPr="00E67A0E">
        <w:rPr>
          <w:color w:val="000000" w:themeColor="text1"/>
          <w:szCs w:val="28"/>
        </w:rPr>
        <w:tab/>
      </w:r>
      <w:r w:rsidRPr="00E67A0E">
        <w:rPr>
          <w:color w:val="000000" w:themeColor="text1"/>
          <w:szCs w:val="28"/>
        </w:rPr>
        <w:tab/>
      </w:r>
      <w:r w:rsidRPr="00E67A0E">
        <w:rPr>
          <w:color w:val="000000" w:themeColor="text1"/>
          <w:szCs w:val="28"/>
        </w:rPr>
        <w:tab/>
      </w:r>
      <w:r w:rsidRPr="00E67A0E">
        <w:rPr>
          <w:color w:val="000000" w:themeColor="text1"/>
          <w:szCs w:val="28"/>
        </w:rPr>
        <w:tab/>
      </w:r>
      <w:r w:rsidRPr="00E67A0E">
        <w:rPr>
          <w:color w:val="000000" w:themeColor="text1"/>
          <w:szCs w:val="28"/>
        </w:rPr>
        <w:tab/>
      </w:r>
      <w:r w:rsidRPr="00E67A0E">
        <w:rPr>
          <w:color w:val="000000" w:themeColor="text1"/>
          <w:szCs w:val="28"/>
        </w:rPr>
        <w:tab/>
      </w:r>
      <w:r w:rsidRPr="00E67A0E">
        <w:rPr>
          <w:color w:val="000000" w:themeColor="text1"/>
          <w:szCs w:val="28"/>
        </w:rPr>
        <w:tab/>
      </w:r>
      <w:r w:rsidRPr="00E67A0E">
        <w:rPr>
          <w:color w:val="000000" w:themeColor="text1"/>
          <w:szCs w:val="28"/>
        </w:rPr>
        <w:tab/>
        <w:t>J.Pūce</w:t>
      </w:r>
    </w:p>
    <w:p w:rsidR="00B7254A" w:rsidRPr="00E67A0E" w:rsidRDefault="00B7254A" w:rsidP="00B7254A">
      <w:pPr>
        <w:ind w:firstLine="0"/>
        <w:rPr>
          <w:rFonts w:ascii="Arial" w:hAnsi="Arial" w:cs="Arial"/>
          <w:color w:val="000000" w:themeColor="text1"/>
          <w:sz w:val="20"/>
          <w:szCs w:val="20"/>
        </w:rPr>
      </w:pPr>
    </w:p>
    <w:p w:rsidR="00B7254A" w:rsidRPr="00E67A0E" w:rsidRDefault="00B7254A" w:rsidP="00B7254A">
      <w:pPr>
        <w:ind w:firstLine="0"/>
        <w:rPr>
          <w:rFonts w:ascii="Arial" w:hAnsi="Arial" w:cs="Arial"/>
          <w:color w:val="000000" w:themeColor="text1"/>
          <w:sz w:val="20"/>
          <w:szCs w:val="20"/>
        </w:rPr>
      </w:pPr>
    </w:p>
    <w:p w:rsidR="00B7254A" w:rsidRPr="00E67A0E" w:rsidRDefault="00B7254A" w:rsidP="00B7254A">
      <w:pPr>
        <w:ind w:firstLine="0"/>
        <w:rPr>
          <w:rFonts w:ascii="Arial" w:hAnsi="Arial" w:cs="Arial"/>
          <w:color w:val="000000" w:themeColor="text1"/>
          <w:sz w:val="20"/>
          <w:szCs w:val="20"/>
        </w:rPr>
      </w:pPr>
    </w:p>
    <w:p w:rsidR="00B7254A" w:rsidRPr="00E67A0E" w:rsidRDefault="00B7254A" w:rsidP="00B7254A">
      <w:pPr>
        <w:ind w:firstLine="0"/>
        <w:rPr>
          <w:rFonts w:ascii="Arial" w:hAnsi="Arial" w:cs="Arial"/>
          <w:color w:val="000000" w:themeColor="text1"/>
          <w:sz w:val="20"/>
          <w:szCs w:val="20"/>
        </w:rPr>
      </w:pPr>
    </w:p>
    <w:p w:rsidR="00B7254A" w:rsidRPr="00E67A0E" w:rsidRDefault="003273CA" w:rsidP="00B7254A">
      <w:pPr>
        <w:ind w:firstLine="0"/>
        <w:rPr>
          <w:rFonts w:cs="Times New Roman"/>
          <w:color w:val="000000" w:themeColor="text1"/>
          <w:sz w:val="20"/>
          <w:szCs w:val="24"/>
        </w:rPr>
      </w:pPr>
      <w:r>
        <w:rPr>
          <w:color w:val="000000" w:themeColor="text1"/>
          <w:sz w:val="20"/>
        </w:rPr>
        <w:t>26</w:t>
      </w:r>
      <w:r w:rsidR="00494BE2">
        <w:rPr>
          <w:color w:val="000000" w:themeColor="text1"/>
          <w:sz w:val="20"/>
        </w:rPr>
        <w:t>.04</w:t>
      </w:r>
      <w:r w:rsidR="00B7254A" w:rsidRPr="00E67A0E">
        <w:rPr>
          <w:color w:val="000000" w:themeColor="text1"/>
          <w:sz w:val="20"/>
        </w:rPr>
        <w:t>.201</w:t>
      </w:r>
      <w:r w:rsidR="002C7A5C">
        <w:rPr>
          <w:color w:val="000000" w:themeColor="text1"/>
          <w:sz w:val="20"/>
        </w:rPr>
        <w:t>3</w:t>
      </w:r>
      <w:r w:rsidR="00B7254A" w:rsidRPr="00E67A0E">
        <w:rPr>
          <w:color w:val="000000" w:themeColor="text1"/>
          <w:sz w:val="20"/>
        </w:rPr>
        <w:t xml:space="preserve">. </w:t>
      </w:r>
      <w:r w:rsidR="006504D1">
        <w:rPr>
          <w:color w:val="000000" w:themeColor="text1"/>
          <w:sz w:val="20"/>
        </w:rPr>
        <w:t>1</w:t>
      </w:r>
      <w:r w:rsidR="000C7E49">
        <w:rPr>
          <w:color w:val="000000" w:themeColor="text1"/>
          <w:sz w:val="20"/>
        </w:rPr>
        <w:t>1</w:t>
      </w:r>
      <w:bookmarkStart w:id="47" w:name="_GoBack"/>
      <w:bookmarkEnd w:id="47"/>
      <w:r w:rsidR="00B7254A" w:rsidRPr="00E67A0E">
        <w:rPr>
          <w:color w:val="000000" w:themeColor="text1"/>
          <w:sz w:val="20"/>
        </w:rPr>
        <w:t>:00</w:t>
      </w:r>
    </w:p>
    <w:p w:rsidR="00B7254A" w:rsidRPr="00E67A0E" w:rsidRDefault="00AD506B" w:rsidP="00B7254A">
      <w:pPr>
        <w:ind w:firstLine="0"/>
        <w:rPr>
          <w:color w:val="000000" w:themeColor="text1"/>
          <w:sz w:val="20"/>
        </w:rPr>
      </w:pPr>
      <w:r>
        <w:rPr>
          <w:color w:val="000000" w:themeColor="text1"/>
          <w:sz w:val="20"/>
        </w:rPr>
        <w:t xml:space="preserve">11 </w:t>
      </w:r>
      <w:r w:rsidR="003273CA">
        <w:rPr>
          <w:color w:val="000000" w:themeColor="text1"/>
          <w:sz w:val="20"/>
        </w:rPr>
        <w:t>735</w:t>
      </w:r>
    </w:p>
    <w:p w:rsidR="00B7254A" w:rsidRPr="00E67A0E" w:rsidRDefault="00B7254A" w:rsidP="00B7254A">
      <w:pPr>
        <w:tabs>
          <w:tab w:val="left" w:pos="7230"/>
        </w:tabs>
        <w:ind w:firstLine="0"/>
        <w:rPr>
          <w:color w:val="000000" w:themeColor="text1"/>
          <w:sz w:val="20"/>
        </w:rPr>
      </w:pPr>
      <w:r w:rsidRPr="00E67A0E">
        <w:rPr>
          <w:color w:val="000000" w:themeColor="text1"/>
          <w:sz w:val="20"/>
        </w:rPr>
        <w:t>K.Soms</w:t>
      </w:r>
    </w:p>
    <w:p w:rsidR="00B7254A" w:rsidRDefault="00B7254A" w:rsidP="00B7254A">
      <w:pPr>
        <w:tabs>
          <w:tab w:val="left" w:pos="7230"/>
        </w:tabs>
        <w:ind w:firstLine="0"/>
        <w:rPr>
          <w:color w:val="000000" w:themeColor="text1"/>
          <w:sz w:val="20"/>
        </w:rPr>
      </w:pPr>
      <w:r w:rsidRPr="00E67A0E">
        <w:rPr>
          <w:color w:val="000000" w:themeColor="text1"/>
          <w:sz w:val="20"/>
        </w:rPr>
        <w:t>67013</w:t>
      </w:r>
      <w:r w:rsidR="00935819">
        <w:rPr>
          <w:color w:val="000000" w:themeColor="text1"/>
          <w:sz w:val="20"/>
        </w:rPr>
        <w:t>299</w:t>
      </w:r>
      <w:r w:rsidRPr="00E67A0E">
        <w:rPr>
          <w:color w:val="000000" w:themeColor="text1"/>
          <w:sz w:val="20"/>
        </w:rPr>
        <w:t xml:space="preserve">, </w:t>
      </w:r>
      <w:r w:rsidRPr="00E67A0E">
        <w:rPr>
          <w:sz w:val="20"/>
        </w:rPr>
        <w:t>Kristaps.Soms@em.gov.lv</w:t>
      </w:r>
      <w:r>
        <w:rPr>
          <w:color w:val="000000" w:themeColor="text1"/>
          <w:sz w:val="20"/>
        </w:rPr>
        <w:t xml:space="preserve"> </w:t>
      </w:r>
    </w:p>
    <w:p w:rsidR="004A517D" w:rsidRPr="003432AF" w:rsidRDefault="004A517D" w:rsidP="00B7254A">
      <w:pPr>
        <w:ind w:firstLine="0"/>
      </w:pPr>
    </w:p>
    <w:sectPr w:rsidR="004A517D" w:rsidRPr="003432AF" w:rsidSect="00D32C70">
      <w:headerReference w:type="default" r:id="rId26"/>
      <w:footerReference w:type="default" r:id="rId27"/>
      <w:pgSz w:w="11906" w:h="16838"/>
      <w:pgMar w:top="1134" w:right="1134" w:bottom="1134" w:left="158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7FE" w:rsidRDefault="007337FE" w:rsidP="00765075">
      <w:r>
        <w:separator/>
      </w:r>
    </w:p>
  </w:endnote>
  <w:endnote w:type="continuationSeparator" w:id="0">
    <w:p w:rsidR="007337FE" w:rsidRDefault="007337FE" w:rsidP="00765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0000012" w:usb3="00000000" w:csb0="0002009F" w:csb1="00000000"/>
  </w:font>
  <w:font w:name="+mn-ea">
    <w:panose1 w:val="00000000000000000000"/>
    <w:charset w:val="00"/>
    <w:family w:val="roman"/>
    <w:notTrueType/>
    <w:pitch w:val="default"/>
  </w:font>
  <w:font w:name="+mn-cs">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102" w:rsidRPr="00EA206C" w:rsidRDefault="00577102" w:rsidP="00EA206C">
    <w:pPr>
      <w:pStyle w:val="Footer"/>
      <w:ind w:firstLine="0"/>
    </w:pPr>
    <w:r w:rsidRPr="009245CF">
      <w:rPr>
        <w:sz w:val="20"/>
        <w:szCs w:val="20"/>
      </w:rPr>
      <w:t>EMPam_</w:t>
    </w:r>
    <w:r w:rsidR="003273CA">
      <w:rPr>
        <w:sz w:val="20"/>
        <w:szCs w:val="20"/>
      </w:rPr>
      <w:t>2</w:t>
    </w:r>
    <w:r w:rsidR="00184C22">
      <w:rPr>
        <w:sz w:val="20"/>
        <w:szCs w:val="20"/>
      </w:rPr>
      <w:t>604</w:t>
    </w:r>
    <w:r>
      <w:rPr>
        <w:sz w:val="20"/>
        <w:szCs w:val="20"/>
      </w:rPr>
      <w:t>2013</w:t>
    </w:r>
    <w:r w:rsidRPr="009245CF">
      <w:rPr>
        <w:sz w:val="20"/>
        <w:szCs w:val="20"/>
      </w:rPr>
      <w:t>_</w:t>
    </w:r>
    <w:r>
      <w:rPr>
        <w:sz w:val="20"/>
        <w:szCs w:val="20"/>
      </w:rPr>
      <w:t>NIP</w:t>
    </w:r>
    <w:r w:rsidRPr="009245CF">
      <w:rPr>
        <w:sz w:val="20"/>
        <w:szCs w:val="20"/>
      </w:rPr>
      <w:t xml:space="preserve">_inf; </w:t>
    </w:r>
    <w:r>
      <w:rPr>
        <w:sz w:val="20"/>
        <w:szCs w:val="20"/>
      </w:rPr>
      <w:t xml:space="preserve">Nacionālā industriālās politikas pamatnostādņu 2014.-2020.gadam </w:t>
    </w:r>
    <w:r w:rsidRPr="009245CF">
      <w:rPr>
        <w:sz w:val="20"/>
        <w:szCs w:val="20"/>
      </w:rPr>
      <w:t>projekts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7FE" w:rsidRDefault="007337FE" w:rsidP="00765075">
      <w:r>
        <w:separator/>
      </w:r>
    </w:p>
  </w:footnote>
  <w:footnote w:type="continuationSeparator" w:id="0">
    <w:p w:rsidR="007337FE" w:rsidRDefault="007337FE" w:rsidP="00765075">
      <w:r>
        <w:continuationSeparator/>
      </w:r>
    </w:p>
  </w:footnote>
  <w:footnote w:id="1">
    <w:p w:rsidR="00577102" w:rsidRPr="000E0BF7" w:rsidRDefault="00577102">
      <w:pPr>
        <w:pStyle w:val="FootnoteText"/>
        <w:rPr>
          <w:lang w:val="lv-LV"/>
        </w:rPr>
      </w:pPr>
      <w:r>
        <w:rPr>
          <w:rStyle w:val="FootnoteReference"/>
        </w:rPr>
        <w:footnoteRef/>
      </w:r>
      <w:r>
        <w:t xml:space="preserve"> </w:t>
      </w:r>
      <w:hyperlink r:id="rId1" w:history="1">
        <w:r w:rsidRPr="0089244E">
          <w:rPr>
            <w:rStyle w:val="Hyperlink"/>
            <w:lang w:val="lv-LV"/>
          </w:rPr>
          <w:t>http://www.mk.gov.lv/file/files/ESfondi/2012/latvijas_konkuretspejas_novertejums_final.pdf</w:t>
        </w:r>
      </w:hyperlink>
      <w:r>
        <w:rPr>
          <w:lang w:val="lv-LV"/>
        </w:rPr>
        <w:t xml:space="preserve"> </w:t>
      </w:r>
    </w:p>
  </w:footnote>
  <w:footnote w:id="2">
    <w:p w:rsidR="00577102" w:rsidRPr="000714A9" w:rsidRDefault="00577102">
      <w:pPr>
        <w:pStyle w:val="FootnoteText"/>
        <w:rPr>
          <w:lang w:val="lv-LV"/>
        </w:rPr>
      </w:pPr>
      <w:r>
        <w:rPr>
          <w:rStyle w:val="FootnoteReference"/>
        </w:rPr>
        <w:footnoteRef/>
      </w:r>
      <w:r w:rsidRPr="000714A9">
        <w:rPr>
          <w:lang w:val="lv-LV"/>
        </w:rPr>
        <w:t xml:space="preserve"> </w:t>
      </w:r>
      <w:hyperlink r:id="rId2" w:history="1">
        <w:r w:rsidRPr="0089244E">
          <w:rPr>
            <w:rStyle w:val="Hyperlink"/>
            <w:lang w:val="lv-LV"/>
          </w:rPr>
          <w:t>http://ec.europa.eu/enterprise/newsroom/cf/_getdocument.cfm?doc_id=7066</w:t>
        </w:r>
      </w:hyperlink>
      <w:r>
        <w:rPr>
          <w:lang w:val="lv-LV"/>
        </w:rPr>
        <w:t xml:space="preserve"> </w:t>
      </w:r>
    </w:p>
  </w:footnote>
  <w:footnote w:id="3">
    <w:p w:rsidR="00577102" w:rsidRPr="00807192" w:rsidRDefault="00577102">
      <w:pPr>
        <w:pStyle w:val="FootnoteText"/>
        <w:rPr>
          <w:lang w:val="lv-LV"/>
        </w:rPr>
      </w:pPr>
      <w:r>
        <w:rPr>
          <w:rStyle w:val="FootnoteReference"/>
        </w:rPr>
        <w:footnoteRef/>
      </w:r>
      <w:r w:rsidRPr="00807192">
        <w:rPr>
          <w:lang w:val="lv-LV"/>
        </w:rPr>
        <w:t xml:space="preserve"> </w:t>
      </w:r>
      <w:r>
        <w:rPr>
          <w:lang w:val="lv-LV"/>
        </w:rPr>
        <w:t>Ar ražošanas klāsteriem ir saprotams nozarē pastāvoša cieša dažādu vērtības ķēdē esošu produktu savstarpējā ciešā saikne un esamība ekonomikā, kā arī produktu saikne ar valstī pastāvošajām darba spēka prasmēm un zinātnes spējām</w:t>
      </w:r>
    </w:p>
  </w:footnote>
  <w:footnote w:id="4">
    <w:p w:rsidR="00577102" w:rsidRPr="00E45B3B" w:rsidRDefault="00577102">
      <w:pPr>
        <w:pStyle w:val="FootnoteText"/>
        <w:rPr>
          <w:lang w:val="lv-LV"/>
        </w:rPr>
      </w:pPr>
      <w:r>
        <w:rPr>
          <w:rStyle w:val="FootnoteReference"/>
        </w:rPr>
        <w:footnoteRef/>
      </w:r>
      <w:r w:rsidRPr="00E45B3B">
        <w:rPr>
          <w:lang w:val="lv-LV"/>
        </w:rPr>
        <w:t xml:space="preserve"> </w:t>
      </w:r>
      <w:hyperlink r:id="rId3" w:history="1">
        <w:r w:rsidRPr="00FF136B">
          <w:rPr>
            <w:rStyle w:val="Hyperlink"/>
            <w:lang w:val="lv-LV"/>
          </w:rPr>
          <w:t>http://www3.weforum.org/docs/WEF_GlobalCompetitivenessReport_2012-13.pdf</w:t>
        </w:r>
      </w:hyperlink>
      <w:r>
        <w:rPr>
          <w:lang w:val="lv-LV"/>
        </w:rPr>
        <w:t xml:space="preserve"> </w:t>
      </w:r>
    </w:p>
  </w:footnote>
  <w:footnote w:id="5">
    <w:p w:rsidR="00577102" w:rsidRPr="00AA76F2" w:rsidRDefault="00577102">
      <w:pPr>
        <w:pStyle w:val="FootnoteText"/>
        <w:rPr>
          <w:lang w:val="lv-LV"/>
        </w:rPr>
      </w:pPr>
      <w:r>
        <w:rPr>
          <w:rStyle w:val="FootnoteReference"/>
        </w:rPr>
        <w:footnoteRef/>
      </w:r>
      <w:r w:rsidRPr="00AA76F2">
        <w:rPr>
          <w:lang w:val="lv-LV"/>
        </w:rPr>
        <w:t xml:space="preserve"> Ienesīgums ir kopējie tīrie ienākumi valstī (pievienotā vērtība), kas gūti, ražojot eksportējamās preces</w:t>
      </w:r>
    </w:p>
  </w:footnote>
  <w:footnote w:id="6">
    <w:p w:rsidR="00577102" w:rsidRPr="00174D36" w:rsidRDefault="00577102">
      <w:pPr>
        <w:pStyle w:val="FootnoteText"/>
        <w:rPr>
          <w:lang w:val="lv-LV"/>
        </w:rPr>
      </w:pPr>
      <w:r>
        <w:rPr>
          <w:rStyle w:val="FootnoteReference"/>
        </w:rPr>
        <w:footnoteRef/>
      </w:r>
      <w:hyperlink r:id="rId4" w:history="1">
        <w:r w:rsidRPr="00202F31">
          <w:rPr>
            <w:rStyle w:val="Hyperlink"/>
            <w:lang w:val="lv-LV"/>
          </w:rPr>
          <w:t>http://www.mk.gov.lv/file/files/ESfondi/2012/padzilinata_izpete_precu_telpas_analize_un_strukturalalas_transformacijas_iespejas_latvija_lv.pdf</w:t>
        </w:r>
      </w:hyperlink>
      <w:r>
        <w:rPr>
          <w:lang w:val="lv-LV"/>
        </w:rPr>
        <w:t xml:space="preserve"> </w:t>
      </w:r>
    </w:p>
  </w:footnote>
  <w:footnote w:id="7">
    <w:p w:rsidR="00577102" w:rsidRPr="00174D36" w:rsidRDefault="00577102">
      <w:pPr>
        <w:pStyle w:val="FootnoteText"/>
        <w:rPr>
          <w:lang w:val="lv-LV"/>
        </w:rPr>
      </w:pPr>
      <w:r>
        <w:rPr>
          <w:rStyle w:val="FootnoteReference"/>
        </w:rPr>
        <w:footnoteRef/>
      </w:r>
      <w:r w:rsidRPr="00174D36">
        <w:rPr>
          <w:lang w:val="lv-LV"/>
        </w:rPr>
        <w:t xml:space="preserve"> </w:t>
      </w:r>
      <w:hyperlink r:id="rId5" w:history="1">
        <w:r w:rsidRPr="00202F31">
          <w:rPr>
            <w:rStyle w:val="Hyperlink"/>
            <w:lang w:val="lv-LV"/>
          </w:rPr>
          <w:t>http://ec.europa.eu/enterprise/policies/industrial-competitiveness/industrial-policy/future-of-manufacturing/files/key_findings_measuring_and_benchmarking_en.pdf</w:t>
        </w:r>
      </w:hyperlink>
      <w:r>
        <w:rPr>
          <w:lang w:val="lv-LV"/>
        </w:rPr>
        <w:t xml:space="preserve"> </w:t>
      </w:r>
    </w:p>
  </w:footnote>
  <w:footnote w:id="8">
    <w:p w:rsidR="00577102" w:rsidRPr="00174D36" w:rsidRDefault="00577102">
      <w:pPr>
        <w:pStyle w:val="FootnoteText"/>
        <w:rPr>
          <w:lang w:val="lv-LV"/>
        </w:rPr>
      </w:pPr>
      <w:r>
        <w:rPr>
          <w:rStyle w:val="FootnoteReference"/>
        </w:rPr>
        <w:footnoteRef/>
      </w:r>
      <w:r w:rsidRPr="00174D36">
        <w:rPr>
          <w:lang w:val="lv-LV"/>
        </w:rPr>
        <w:t xml:space="preserve"> </w:t>
      </w:r>
      <w:hyperlink r:id="rId6" w:history="1">
        <w:r w:rsidRPr="00202F31">
          <w:rPr>
            <w:rStyle w:val="Hyperlink"/>
            <w:lang w:val="lv-LV"/>
          </w:rPr>
          <w:t>http://eur-lex.europa.eu/LexUriServ/LexUriServ.do?uri=COM:2012:0582:FIN:LV:PDF</w:t>
        </w:r>
      </w:hyperlink>
      <w:r>
        <w:rPr>
          <w:lang w:val="lv-LV"/>
        </w:rPr>
        <w:t xml:space="preserve"> </w:t>
      </w:r>
    </w:p>
  </w:footnote>
  <w:footnote w:id="9">
    <w:p w:rsidR="00577102" w:rsidRPr="00142880" w:rsidRDefault="00577102" w:rsidP="00DA1480">
      <w:pPr>
        <w:rPr>
          <w:sz w:val="20"/>
          <w:szCs w:val="20"/>
        </w:rPr>
      </w:pPr>
      <w:r w:rsidRPr="00142880">
        <w:rPr>
          <w:rStyle w:val="FootnoteReference"/>
        </w:rPr>
        <w:footnoteRef/>
      </w:r>
      <w:r w:rsidRPr="00142880">
        <w:t xml:space="preserve"> </w:t>
      </w:r>
      <w:r w:rsidRPr="00142880">
        <w:rPr>
          <w:sz w:val="20"/>
          <w:szCs w:val="20"/>
        </w:rPr>
        <w:t xml:space="preserve">Sadaļā izmantota informācija no Ekonomikas ministrijas izstrādātā Informatīvā ziņojuma par darba tirgus vidēja un ilgtermiņa prognozēm </w:t>
      </w:r>
    </w:p>
    <w:p w:rsidR="00577102" w:rsidRDefault="007337FE" w:rsidP="00DA1480">
      <w:hyperlink r:id="rId7" w:history="1">
        <w:r w:rsidR="00577102" w:rsidRPr="00142880">
          <w:rPr>
            <w:rStyle w:val="Hyperlink"/>
            <w:sz w:val="20"/>
            <w:szCs w:val="20"/>
          </w:rPr>
          <w:t>http://www.em.gov.lv/images/modules/items/tsdep/darba_tirgus/EMZino_260612_full.pdf</w:t>
        </w:r>
      </w:hyperlink>
      <w:r w:rsidR="00577102">
        <w:t xml:space="preserve"> </w:t>
      </w:r>
    </w:p>
    <w:p w:rsidR="00577102" w:rsidRPr="00377D50" w:rsidRDefault="00577102" w:rsidP="00DA1480">
      <w:pPr>
        <w:pStyle w:val="FootnoteText"/>
        <w:rPr>
          <w:lang w:val="lv-LV"/>
        </w:rPr>
      </w:pPr>
    </w:p>
  </w:footnote>
  <w:footnote w:id="10">
    <w:p w:rsidR="00275C7E" w:rsidRPr="008E035F" w:rsidRDefault="00275C7E" w:rsidP="00275C7E">
      <w:pPr>
        <w:pStyle w:val="FootnoteText"/>
        <w:rPr>
          <w:lang w:val="lv-LV"/>
        </w:rPr>
      </w:pPr>
      <w:r>
        <w:rPr>
          <w:rStyle w:val="FootnoteReference"/>
        </w:rPr>
        <w:footnoteRef/>
      </w:r>
      <w:r w:rsidRPr="008E035F">
        <w:rPr>
          <w:lang w:val="lv-LV"/>
        </w:rPr>
        <w:t xml:space="preserve"> </w:t>
      </w:r>
      <w:r w:rsidRPr="00275C7E">
        <w:rPr>
          <w:rFonts w:eastAsia="MS PGothic"/>
          <w:color w:val="000000"/>
          <w:kern w:val="24"/>
          <w:lang w:val="lv-LV"/>
        </w:rPr>
        <w:t>Ministru kabineta 2011.gada 25.janvāra noteikumi Nr.75 „Noteikumi par aktīvo nodarbinātības pasākumu un preventīvo bezdarba samazināšanas pasākumu organizēšanas un finansēšanas kārtību un pasākumu īstenotāju izvēles principiem”</w:t>
      </w:r>
    </w:p>
  </w:footnote>
  <w:footnote w:id="11">
    <w:p w:rsidR="00577102" w:rsidRPr="00377D50" w:rsidRDefault="00577102" w:rsidP="00377D50">
      <w:pPr>
        <w:pStyle w:val="FootnoteText"/>
        <w:rPr>
          <w:lang w:val="lv-LV"/>
        </w:rPr>
      </w:pPr>
      <w:r>
        <w:rPr>
          <w:rStyle w:val="FootnoteReference"/>
        </w:rPr>
        <w:footnoteRef/>
      </w:r>
      <w:r>
        <w:t xml:space="preserve"> </w:t>
      </w:r>
      <w:r>
        <w:rPr>
          <w:lang w:val="lv-LV"/>
        </w:rPr>
        <w:t>Produkti – termins tiek lietots, lai apzīmētu preces un pakalpojumus</w:t>
      </w:r>
    </w:p>
  </w:footnote>
  <w:footnote w:id="12">
    <w:p w:rsidR="00577102" w:rsidRPr="00C41F6B" w:rsidRDefault="00577102">
      <w:pPr>
        <w:pStyle w:val="FootnoteText"/>
        <w:rPr>
          <w:lang w:val="lv-LV"/>
        </w:rPr>
      </w:pPr>
      <w:r>
        <w:rPr>
          <w:rStyle w:val="FootnoteReference"/>
        </w:rPr>
        <w:footnoteRef/>
      </w:r>
      <w:r w:rsidRPr="00C41F6B">
        <w:rPr>
          <w:lang w:val="lv-LV"/>
        </w:rPr>
        <w:t xml:space="preserve"> Reģionālās politikas pamatnostādnes līdz 2020.gadam</w:t>
      </w:r>
      <w:r>
        <w:rPr>
          <w:lang w:val="lv-LV"/>
        </w:rPr>
        <w:t xml:space="preserve"> </w:t>
      </w:r>
      <w:hyperlink r:id="rId8" w:history="1">
        <w:r w:rsidRPr="00EA2DD6">
          <w:rPr>
            <w:rStyle w:val="Hyperlink"/>
            <w:lang w:val="lv-LV"/>
          </w:rPr>
          <w:t>http://www.mk.gov.lv/lv/mk/tap/?pid=40270870</w:t>
        </w:r>
      </w:hyperlink>
      <w:r>
        <w:rPr>
          <w:lang w:val="lv-LV"/>
        </w:rPr>
        <w:t xml:space="preserve">   </w:t>
      </w:r>
    </w:p>
  </w:footnote>
  <w:footnote w:id="13">
    <w:p w:rsidR="00577102" w:rsidRPr="00D62E7A" w:rsidRDefault="00577102" w:rsidP="00EC7C36">
      <w:pPr>
        <w:pStyle w:val="FootnoteText"/>
        <w:rPr>
          <w:rFonts w:ascii="Times New Roman" w:hAnsi="Times New Roman"/>
          <w:lang w:val="lv-LV"/>
        </w:rPr>
      </w:pPr>
      <w:r w:rsidRPr="00FE2083">
        <w:rPr>
          <w:rStyle w:val="FootnoteReference"/>
          <w:rFonts w:ascii="Times New Roman" w:hAnsi="Times New Roman"/>
          <w:lang w:val="lv-LV"/>
        </w:rPr>
        <w:footnoteRef/>
      </w:r>
      <w:r w:rsidRPr="00FE2083">
        <w:rPr>
          <w:rFonts w:ascii="Times New Roman" w:hAnsi="Times New Roman"/>
          <w:lang w:val="lv-LV"/>
        </w:rPr>
        <w:t xml:space="preserve"> </w:t>
      </w:r>
      <w:hyperlink r:id="rId9" w:history="1">
        <w:r w:rsidRPr="00EA2DD6">
          <w:rPr>
            <w:rStyle w:val="Hyperlink"/>
            <w:rFonts w:ascii="Times New Roman" w:hAnsi="Times New Roman"/>
            <w:lang w:val="lv-LV"/>
          </w:rPr>
          <w:t>http://lvceli.lv/files/Publicejama%20projektu%20dokumentacija/Celu%20stavoklis_2011.pdf</w:t>
        </w:r>
      </w:hyperlink>
      <w:r>
        <w:rPr>
          <w:rFonts w:ascii="Times New Roman" w:hAnsi="Times New Roman"/>
          <w:lang w:val="lv-LV"/>
        </w:rPr>
        <w:t xml:space="preserve"> </w:t>
      </w:r>
    </w:p>
  </w:footnote>
  <w:footnote w:id="14">
    <w:p w:rsidR="00577102" w:rsidRPr="00D62E7A" w:rsidRDefault="00577102" w:rsidP="00EC7C36">
      <w:pPr>
        <w:pStyle w:val="FootnoteText"/>
        <w:rPr>
          <w:lang w:val="lv-LV"/>
        </w:rPr>
      </w:pPr>
      <w:r>
        <w:rPr>
          <w:rStyle w:val="FootnoteReference"/>
        </w:rPr>
        <w:footnoteRef/>
      </w:r>
      <w:r w:rsidRPr="00D62E7A">
        <w:rPr>
          <w:lang w:val="lv-LV"/>
        </w:rPr>
        <w:t xml:space="preserve"> </w:t>
      </w:r>
      <w:r w:rsidRPr="00D62E7A">
        <w:rPr>
          <w:rFonts w:ascii="Times New Roman" w:hAnsi="Times New Roman"/>
          <w:lang w:val="lv-LV"/>
        </w:rPr>
        <w:t xml:space="preserve">Satiksmes ministrijas </w:t>
      </w:r>
      <w:r w:rsidRPr="00C41F6B">
        <w:rPr>
          <w:rFonts w:ascii="Times New Roman" w:hAnsi="Times New Roman"/>
          <w:lang w:val="lv-LV"/>
        </w:rPr>
        <w:t xml:space="preserve">Informatīvais ziņojums par valsts autoceļu posmu ar sabrukušo asfalta segumu ārkārtas uzturēšanas darbiem, izskatīts MK 2012.gada 12.jūnijā (pieejams: </w:t>
      </w:r>
      <w:r w:rsidRPr="00D62E7A">
        <w:rPr>
          <w:rFonts w:ascii="Times New Roman" w:hAnsi="Times New Roman"/>
          <w:lang w:val="lv-LV"/>
        </w:rPr>
        <w:t xml:space="preserve">http://polsis.mk.gov.lv/view.do?id=4005) </w:t>
      </w:r>
      <w:r>
        <w:rPr>
          <w:rFonts w:ascii="Times New Roman" w:hAnsi="Times New Roman"/>
          <w:lang w:val="lv-LV"/>
        </w:rPr>
        <w:t xml:space="preserve"> </w:t>
      </w:r>
    </w:p>
  </w:footnote>
  <w:footnote w:id="15">
    <w:p w:rsidR="00577102" w:rsidRPr="00C41F6B" w:rsidRDefault="00577102" w:rsidP="00EC7C36">
      <w:pPr>
        <w:pStyle w:val="FootnoteText"/>
        <w:rPr>
          <w:rFonts w:ascii="Times New Roman" w:hAnsi="Times New Roman"/>
          <w:lang w:val="lv-LV"/>
        </w:rPr>
      </w:pPr>
      <w:r w:rsidRPr="00C41F6B">
        <w:rPr>
          <w:rFonts w:ascii="Times New Roman" w:hAnsi="Times New Roman"/>
          <w:vertAlign w:val="superscript"/>
          <w:lang w:val="lv-LV"/>
        </w:rPr>
        <w:footnoteRef/>
      </w:r>
      <w:r w:rsidRPr="00C41F6B">
        <w:rPr>
          <w:rFonts w:ascii="Times New Roman" w:hAnsi="Times New Roman"/>
          <w:vertAlign w:val="superscript"/>
          <w:lang w:val="lv-LV"/>
        </w:rPr>
        <w:t xml:space="preserve"> </w:t>
      </w:r>
      <w:r w:rsidRPr="00C41F6B">
        <w:rPr>
          <w:rFonts w:ascii="Times New Roman" w:hAnsi="Times New Roman"/>
          <w:lang w:val="lv-LV"/>
        </w:rPr>
        <w:t>Informācija no Satiksmes ministrijas Informatīvā ziņojuma par pašvaldību autoceļu un ielu uzturēšanas neatliekamiem darbiem”, izskatīts MK 2012.gada 12.jūnijā (pieejams: http://polsis.mk.gov.lv/view.do?id=4004)</w:t>
      </w:r>
      <w:r>
        <w:rPr>
          <w:rFonts w:ascii="Times New Roman" w:hAnsi="Times New Roman"/>
          <w:lang w:val="lv-LV"/>
        </w:rPr>
        <w:t xml:space="preserve"> </w:t>
      </w:r>
    </w:p>
  </w:footnote>
  <w:footnote w:id="16">
    <w:p w:rsidR="00577102" w:rsidRPr="00B3735D" w:rsidRDefault="00577102" w:rsidP="008768DD">
      <w:pPr>
        <w:pStyle w:val="FootnoteText"/>
        <w:rPr>
          <w:lang w:val="lv-LV"/>
        </w:rPr>
      </w:pPr>
      <w:r w:rsidRPr="00C41F6B">
        <w:rPr>
          <w:rStyle w:val="FootnoteReference"/>
        </w:rPr>
        <w:footnoteRef/>
      </w:r>
      <w:r w:rsidRPr="00C41F6B">
        <w:rPr>
          <w:lang w:val="lv-LV"/>
        </w:rPr>
        <w:t xml:space="preserve"> </w:t>
      </w:r>
      <w:r w:rsidRPr="00465058">
        <w:rPr>
          <w:lang w:val="lv-LV"/>
        </w:rPr>
        <w:t>http://ec.europa.eu/enterprise/policies/innovation/facts-figures-analysis/innovation-scoreboard</w:t>
      </w:r>
    </w:p>
  </w:footnote>
  <w:footnote w:id="17">
    <w:p w:rsidR="00BD4ED1" w:rsidRPr="00E31CCB" w:rsidRDefault="00BD4ED1" w:rsidP="00BD4ED1">
      <w:pPr>
        <w:pStyle w:val="FootnoteText"/>
        <w:rPr>
          <w:lang w:val="lv-LV"/>
        </w:rPr>
      </w:pPr>
      <w:r>
        <w:rPr>
          <w:rStyle w:val="FootnoteReference"/>
        </w:rPr>
        <w:footnoteRef/>
      </w:r>
      <w:r w:rsidRPr="00E31CCB">
        <w:rPr>
          <w:lang w:val="lv-LV"/>
        </w:rPr>
        <w:t xml:space="preserve"> http://www.mk.gov.lv/file/files/ESfondi/2012/latvijas_konkuretspejas_novertejums_final.pdf</w:t>
      </w:r>
    </w:p>
  </w:footnote>
  <w:footnote w:id="18">
    <w:p w:rsidR="00577102" w:rsidRPr="00A71846" w:rsidRDefault="00577102">
      <w:pPr>
        <w:pStyle w:val="FootnoteText"/>
        <w:rPr>
          <w:lang w:val="lv-LV"/>
        </w:rPr>
      </w:pPr>
      <w:r>
        <w:rPr>
          <w:rStyle w:val="FootnoteReference"/>
        </w:rPr>
        <w:footnoteRef/>
      </w:r>
      <w:r w:rsidRPr="00A71846">
        <w:rPr>
          <w:lang w:val="lv-LV"/>
        </w:rPr>
        <w:t xml:space="preserve"> </w:t>
      </w:r>
      <w:hyperlink r:id="rId10" w:history="1">
        <w:r w:rsidRPr="00A1506B">
          <w:rPr>
            <w:rStyle w:val="Hyperlink"/>
            <w:lang w:val="lv-LV"/>
          </w:rPr>
          <w:t>http://en.wikipedia.org/wiki/Porter_five_forces_analysis</w:t>
        </w:r>
      </w:hyperlink>
      <w:r>
        <w:rPr>
          <w:lang w:val="lv-LV"/>
        </w:rPr>
        <w:t xml:space="preserve"> </w:t>
      </w:r>
    </w:p>
  </w:footnote>
  <w:footnote w:id="19">
    <w:p w:rsidR="00577102" w:rsidRPr="00A71846" w:rsidRDefault="00577102">
      <w:pPr>
        <w:pStyle w:val="FootnoteText"/>
        <w:rPr>
          <w:lang w:val="lv-LV"/>
        </w:rPr>
      </w:pPr>
      <w:r>
        <w:rPr>
          <w:rStyle w:val="FootnoteReference"/>
        </w:rPr>
        <w:footnoteRef/>
      </w:r>
      <w:r w:rsidRPr="00A71846">
        <w:rPr>
          <w:lang w:val="lv-LV"/>
        </w:rPr>
        <w:t xml:space="preserve"> </w:t>
      </w:r>
      <w:hyperlink r:id="rId11" w:history="1">
        <w:r w:rsidRPr="00A1506B">
          <w:rPr>
            <w:rStyle w:val="Hyperlink"/>
            <w:lang w:val="lv-LV"/>
          </w:rPr>
          <w:t>http://en.wikipedia.org/wiki/Critical_success_factor</w:t>
        </w:r>
      </w:hyperlink>
      <w:r>
        <w:rPr>
          <w:lang w:val="lv-LV"/>
        </w:rPr>
        <w:t xml:space="preserve"> </w:t>
      </w:r>
    </w:p>
  </w:footnote>
  <w:footnote w:id="20">
    <w:p w:rsidR="00577102" w:rsidRPr="001B302C" w:rsidRDefault="00577102">
      <w:pPr>
        <w:pStyle w:val="FootnoteText"/>
        <w:rPr>
          <w:lang w:val="lv-LV"/>
        </w:rPr>
      </w:pPr>
      <w:r>
        <w:rPr>
          <w:rStyle w:val="FootnoteReference"/>
        </w:rPr>
        <w:footnoteRef/>
      </w:r>
      <w:r w:rsidRPr="00AD5865">
        <w:rPr>
          <w:lang w:val="lv-LV"/>
        </w:rPr>
        <w:t xml:space="preserve"> </w:t>
      </w:r>
      <w:r w:rsidRPr="001B302C">
        <w:rPr>
          <w:lang w:val="lv-LV"/>
        </w:rPr>
        <w:t>http://www.em.gov.lv/images/modules/items/tsdep/darba_tirgus/EMZino_260612_full.pdf</w:t>
      </w:r>
    </w:p>
  </w:footnote>
  <w:footnote w:id="21">
    <w:p w:rsidR="00577102" w:rsidRPr="006F7234" w:rsidRDefault="00577102" w:rsidP="003B3DD3">
      <w:pPr>
        <w:pStyle w:val="FootnoteText"/>
        <w:rPr>
          <w:lang w:val="lv-LV"/>
        </w:rPr>
      </w:pPr>
      <w:r>
        <w:rPr>
          <w:rStyle w:val="FootnoteReference"/>
        </w:rPr>
        <w:footnoteRef/>
      </w:r>
      <w:r w:rsidRPr="006F7234">
        <w:rPr>
          <w:lang w:val="lv-LV"/>
        </w:rPr>
        <w:t xml:space="preserve"> </w:t>
      </w:r>
      <w:r>
        <w:rPr>
          <w:lang w:val="lv-LV"/>
        </w:rPr>
        <w:t>OECD (2011), Reģioni un Inovācijas politika.</w:t>
      </w:r>
    </w:p>
  </w:footnote>
  <w:footnote w:id="22">
    <w:p w:rsidR="00577102" w:rsidRPr="00955533" w:rsidRDefault="00577102">
      <w:pPr>
        <w:pStyle w:val="FootnoteText"/>
        <w:rPr>
          <w:lang w:val="lv-LV"/>
        </w:rPr>
      </w:pPr>
      <w:r>
        <w:rPr>
          <w:rStyle w:val="FootnoteReference"/>
        </w:rPr>
        <w:footnoteRef/>
      </w:r>
      <w:r w:rsidRPr="00872A38">
        <w:rPr>
          <w:lang w:val="lv-LV"/>
        </w:rPr>
        <w:t>http://wiki.em.gov.lv/wiki/M%C4%93r%C4%B7u_sasnieg%C5%A1anas_izaicin%C4%81jumi_un_politikas_instrumenti</w:t>
      </w:r>
    </w:p>
  </w:footnote>
  <w:footnote w:id="23">
    <w:p w:rsidR="00577102" w:rsidRPr="004C3972" w:rsidRDefault="00577102">
      <w:pPr>
        <w:pStyle w:val="FootnoteText"/>
        <w:rPr>
          <w:lang w:val="lv-LV"/>
        </w:rPr>
      </w:pPr>
      <w:r>
        <w:rPr>
          <w:rStyle w:val="FootnoteReference"/>
        </w:rPr>
        <w:footnoteRef/>
      </w:r>
      <w:r>
        <w:rPr>
          <w:lang w:val="lv-LV"/>
        </w:rPr>
        <w:t> </w:t>
      </w:r>
      <w:r w:rsidRPr="001B302C">
        <w:rPr>
          <w:lang w:val="lv-LV"/>
        </w:rPr>
        <w:t>http://www.em.gov.lv/images/modules/items/Industrialas%20politikas%20politisko%20vadliniju%20dokuments%20FINAL.pdf</w:t>
      </w:r>
      <w:r>
        <w:rPr>
          <w:lang w:val="lv-LV"/>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2381190"/>
      <w:docPartObj>
        <w:docPartGallery w:val="Page Numbers (Top of Page)"/>
        <w:docPartUnique/>
      </w:docPartObj>
    </w:sdtPr>
    <w:sdtEndPr>
      <w:rPr>
        <w:noProof/>
      </w:rPr>
    </w:sdtEndPr>
    <w:sdtContent>
      <w:p w:rsidR="00577102" w:rsidRDefault="00577102">
        <w:pPr>
          <w:pStyle w:val="Header"/>
          <w:jc w:val="center"/>
        </w:pPr>
        <w:r>
          <w:fldChar w:fldCharType="begin"/>
        </w:r>
        <w:r>
          <w:instrText xml:space="preserve"> PAGE   \* MERGEFORMAT </w:instrText>
        </w:r>
        <w:r>
          <w:fldChar w:fldCharType="separate"/>
        </w:r>
        <w:r w:rsidR="000C7E49">
          <w:rPr>
            <w:noProof/>
          </w:rPr>
          <w:t>41</w:t>
        </w:r>
        <w:r>
          <w:rPr>
            <w:noProof/>
          </w:rPr>
          <w:fldChar w:fldCharType="end"/>
        </w:r>
      </w:p>
    </w:sdtContent>
  </w:sdt>
  <w:p w:rsidR="00577102" w:rsidRDefault="005771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54DE4"/>
    <w:multiLevelType w:val="hybridMultilevel"/>
    <w:tmpl w:val="BA107C2E"/>
    <w:lvl w:ilvl="0" w:tplc="04260001">
      <w:start w:val="1"/>
      <w:numFmt w:val="bullet"/>
      <w:lvlText w:val=""/>
      <w:lvlJc w:val="left"/>
      <w:pPr>
        <w:ind w:left="1174" w:hanging="360"/>
      </w:pPr>
      <w:rPr>
        <w:rFonts w:ascii="Symbol" w:hAnsi="Symbol" w:hint="default"/>
      </w:rPr>
    </w:lvl>
    <w:lvl w:ilvl="1" w:tplc="04260003" w:tentative="1">
      <w:start w:val="1"/>
      <w:numFmt w:val="bullet"/>
      <w:lvlText w:val="o"/>
      <w:lvlJc w:val="left"/>
      <w:pPr>
        <w:ind w:left="1894" w:hanging="360"/>
      </w:pPr>
      <w:rPr>
        <w:rFonts w:ascii="Courier New" w:hAnsi="Courier New" w:cs="Courier New" w:hint="default"/>
      </w:rPr>
    </w:lvl>
    <w:lvl w:ilvl="2" w:tplc="04260005" w:tentative="1">
      <w:start w:val="1"/>
      <w:numFmt w:val="bullet"/>
      <w:lvlText w:val=""/>
      <w:lvlJc w:val="left"/>
      <w:pPr>
        <w:ind w:left="2614" w:hanging="360"/>
      </w:pPr>
      <w:rPr>
        <w:rFonts w:ascii="Wingdings" w:hAnsi="Wingdings" w:hint="default"/>
      </w:rPr>
    </w:lvl>
    <w:lvl w:ilvl="3" w:tplc="04260001" w:tentative="1">
      <w:start w:val="1"/>
      <w:numFmt w:val="bullet"/>
      <w:lvlText w:val=""/>
      <w:lvlJc w:val="left"/>
      <w:pPr>
        <w:ind w:left="3334" w:hanging="360"/>
      </w:pPr>
      <w:rPr>
        <w:rFonts w:ascii="Symbol" w:hAnsi="Symbol" w:hint="default"/>
      </w:rPr>
    </w:lvl>
    <w:lvl w:ilvl="4" w:tplc="04260003" w:tentative="1">
      <w:start w:val="1"/>
      <w:numFmt w:val="bullet"/>
      <w:lvlText w:val="o"/>
      <w:lvlJc w:val="left"/>
      <w:pPr>
        <w:ind w:left="4054" w:hanging="360"/>
      </w:pPr>
      <w:rPr>
        <w:rFonts w:ascii="Courier New" w:hAnsi="Courier New" w:cs="Courier New" w:hint="default"/>
      </w:rPr>
    </w:lvl>
    <w:lvl w:ilvl="5" w:tplc="04260005" w:tentative="1">
      <w:start w:val="1"/>
      <w:numFmt w:val="bullet"/>
      <w:lvlText w:val=""/>
      <w:lvlJc w:val="left"/>
      <w:pPr>
        <w:ind w:left="4774" w:hanging="360"/>
      </w:pPr>
      <w:rPr>
        <w:rFonts w:ascii="Wingdings" w:hAnsi="Wingdings" w:hint="default"/>
      </w:rPr>
    </w:lvl>
    <w:lvl w:ilvl="6" w:tplc="04260001" w:tentative="1">
      <w:start w:val="1"/>
      <w:numFmt w:val="bullet"/>
      <w:lvlText w:val=""/>
      <w:lvlJc w:val="left"/>
      <w:pPr>
        <w:ind w:left="5494" w:hanging="360"/>
      </w:pPr>
      <w:rPr>
        <w:rFonts w:ascii="Symbol" w:hAnsi="Symbol" w:hint="default"/>
      </w:rPr>
    </w:lvl>
    <w:lvl w:ilvl="7" w:tplc="04260003" w:tentative="1">
      <w:start w:val="1"/>
      <w:numFmt w:val="bullet"/>
      <w:lvlText w:val="o"/>
      <w:lvlJc w:val="left"/>
      <w:pPr>
        <w:ind w:left="6214" w:hanging="360"/>
      </w:pPr>
      <w:rPr>
        <w:rFonts w:ascii="Courier New" w:hAnsi="Courier New" w:cs="Courier New" w:hint="default"/>
      </w:rPr>
    </w:lvl>
    <w:lvl w:ilvl="8" w:tplc="04260005" w:tentative="1">
      <w:start w:val="1"/>
      <w:numFmt w:val="bullet"/>
      <w:lvlText w:val=""/>
      <w:lvlJc w:val="left"/>
      <w:pPr>
        <w:ind w:left="6934" w:hanging="360"/>
      </w:pPr>
      <w:rPr>
        <w:rFonts w:ascii="Wingdings" w:hAnsi="Wingdings" w:hint="default"/>
      </w:rPr>
    </w:lvl>
  </w:abstractNum>
  <w:abstractNum w:abstractNumId="1">
    <w:nsid w:val="09AB0F6E"/>
    <w:multiLevelType w:val="hybridMultilevel"/>
    <w:tmpl w:val="3BC202D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nsid w:val="0B031C48"/>
    <w:multiLevelType w:val="hybridMultilevel"/>
    <w:tmpl w:val="6D5CF608"/>
    <w:lvl w:ilvl="0" w:tplc="04260001">
      <w:start w:val="1"/>
      <w:numFmt w:val="bullet"/>
      <w:lvlText w:val=""/>
      <w:lvlJc w:val="left"/>
      <w:pPr>
        <w:ind w:left="1174" w:hanging="360"/>
      </w:pPr>
      <w:rPr>
        <w:rFonts w:ascii="Symbol" w:hAnsi="Symbol" w:hint="default"/>
      </w:rPr>
    </w:lvl>
    <w:lvl w:ilvl="1" w:tplc="04260003" w:tentative="1">
      <w:start w:val="1"/>
      <w:numFmt w:val="bullet"/>
      <w:lvlText w:val="o"/>
      <w:lvlJc w:val="left"/>
      <w:pPr>
        <w:ind w:left="1894" w:hanging="360"/>
      </w:pPr>
      <w:rPr>
        <w:rFonts w:ascii="Courier New" w:hAnsi="Courier New" w:cs="Courier New" w:hint="default"/>
      </w:rPr>
    </w:lvl>
    <w:lvl w:ilvl="2" w:tplc="04260005" w:tentative="1">
      <w:start w:val="1"/>
      <w:numFmt w:val="bullet"/>
      <w:lvlText w:val=""/>
      <w:lvlJc w:val="left"/>
      <w:pPr>
        <w:ind w:left="2614" w:hanging="360"/>
      </w:pPr>
      <w:rPr>
        <w:rFonts w:ascii="Wingdings" w:hAnsi="Wingdings" w:hint="default"/>
      </w:rPr>
    </w:lvl>
    <w:lvl w:ilvl="3" w:tplc="04260001" w:tentative="1">
      <w:start w:val="1"/>
      <w:numFmt w:val="bullet"/>
      <w:lvlText w:val=""/>
      <w:lvlJc w:val="left"/>
      <w:pPr>
        <w:ind w:left="3334" w:hanging="360"/>
      </w:pPr>
      <w:rPr>
        <w:rFonts w:ascii="Symbol" w:hAnsi="Symbol" w:hint="default"/>
      </w:rPr>
    </w:lvl>
    <w:lvl w:ilvl="4" w:tplc="04260003" w:tentative="1">
      <w:start w:val="1"/>
      <w:numFmt w:val="bullet"/>
      <w:lvlText w:val="o"/>
      <w:lvlJc w:val="left"/>
      <w:pPr>
        <w:ind w:left="4054" w:hanging="360"/>
      </w:pPr>
      <w:rPr>
        <w:rFonts w:ascii="Courier New" w:hAnsi="Courier New" w:cs="Courier New" w:hint="default"/>
      </w:rPr>
    </w:lvl>
    <w:lvl w:ilvl="5" w:tplc="04260005" w:tentative="1">
      <w:start w:val="1"/>
      <w:numFmt w:val="bullet"/>
      <w:lvlText w:val=""/>
      <w:lvlJc w:val="left"/>
      <w:pPr>
        <w:ind w:left="4774" w:hanging="360"/>
      </w:pPr>
      <w:rPr>
        <w:rFonts w:ascii="Wingdings" w:hAnsi="Wingdings" w:hint="default"/>
      </w:rPr>
    </w:lvl>
    <w:lvl w:ilvl="6" w:tplc="04260001" w:tentative="1">
      <w:start w:val="1"/>
      <w:numFmt w:val="bullet"/>
      <w:lvlText w:val=""/>
      <w:lvlJc w:val="left"/>
      <w:pPr>
        <w:ind w:left="5494" w:hanging="360"/>
      </w:pPr>
      <w:rPr>
        <w:rFonts w:ascii="Symbol" w:hAnsi="Symbol" w:hint="default"/>
      </w:rPr>
    </w:lvl>
    <w:lvl w:ilvl="7" w:tplc="04260003" w:tentative="1">
      <w:start w:val="1"/>
      <w:numFmt w:val="bullet"/>
      <w:lvlText w:val="o"/>
      <w:lvlJc w:val="left"/>
      <w:pPr>
        <w:ind w:left="6214" w:hanging="360"/>
      </w:pPr>
      <w:rPr>
        <w:rFonts w:ascii="Courier New" w:hAnsi="Courier New" w:cs="Courier New" w:hint="default"/>
      </w:rPr>
    </w:lvl>
    <w:lvl w:ilvl="8" w:tplc="04260005" w:tentative="1">
      <w:start w:val="1"/>
      <w:numFmt w:val="bullet"/>
      <w:lvlText w:val=""/>
      <w:lvlJc w:val="left"/>
      <w:pPr>
        <w:ind w:left="6934" w:hanging="360"/>
      </w:pPr>
      <w:rPr>
        <w:rFonts w:ascii="Wingdings" w:hAnsi="Wingdings" w:hint="default"/>
      </w:rPr>
    </w:lvl>
  </w:abstractNum>
  <w:abstractNum w:abstractNumId="3">
    <w:nsid w:val="11232880"/>
    <w:multiLevelType w:val="hybridMultilevel"/>
    <w:tmpl w:val="B69035C4"/>
    <w:lvl w:ilvl="0" w:tplc="2630698A">
      <w:start w:val="1"/>
      <w:numFmt w:val="bullet"/>
      <w:lvlText w:val=""/>
      <w:lvlJc w:val="left"/>
      <w:pPr>
        <w:ind w:left="1174"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nsid w:val="129E691F"/>
    <w:multiLevelType w:val="hybridMultilevel"/>
    <w:tmpl w:val="02EEDB72"/>
    <w:lvl w:ilvl="0" w:tplc="0426000F">
      <w:start w:val="1"/>
      <w:numFmt w:val="decimal"/>
      <w:lvlText w:val="%1."/>
      <w:lvlJc w:val="left"/>
      <w:pPr>
        <w:ind w:left="720" w:hanging="360"/>
      </w:pPr>
    </w:lvl>
    <w:lvl w:ilvl="1" w:tplc="0426000D">
      <w:start w:val="1"/>
      <w:numFmt w:val="bullet"/>
      <w:lvlText w:val=""/>
      <w:lvlJc w:val="left"/>
      <w:pPr>
        <w:ind w:left="1440" w:hanging="360"/>
      </w:pPr>
      <w:rPr>
        <w:rFonts w:ascii="Wingdings" w:hAnsi="Wingdings"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15977B2E"/>
    <w:multiLevelType w:val="hybridMultilevel"/>
    <w:tmpl w:val="CDB638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nsid w:val="16514540"/>
    <w:multiLevelType w:val="hybridMultilevel"/>
    <w:tmpl w:val="C52A6846"/>
    <w:lvl w:ilvl="0" w:tplc="04260001">
      <w:start w:val="1"/>
      <w:numFmt w:val="bullet"/>
      <w:lvlText w:val=""/>
      <w:lvlJc w:val="left"/>
      <w:pPr>
        <w:ind w:left="1174" w:hanging="360"/>
      </w:pPr>
      <w:rPr>
        <w:rFonts w:ascii="Symbol" w:hAnsi="Symbol" w:hint="default"/>
      </w:rPr>
    </w:lvl>
    <w:lvl w:ilvl="1" w:tplc="04260003" w:tentative="1">
      <w:start w:val="1"/>
      <w:numFmt w:val="bullet"/>
      <w:lvlText w:val="o"/>
      <w:lvlJc w:val="left"/>
      <w:pPr>
        <w:ind w:left="1894" w:hanging="360"/>
      </w:pPr>
      <w:rPr>
        <w:rFonts w:ascii="Courier New" w:hAnsi="Courier New" w:cs="Courier New" w:hint="default"/>
      </w:rPr>
    </w:lvl>
    <w:lvl w:ilvl="2" w:tplc="04260005" w:tentative="1">
      <w:start w:val="1"/>
      <w:numFmt w:val="bullet"/>
      <w:lvlText w:val=""/>
      <w:lvlJc w:val="left"/>
      <w:pPr>
        <w:ind w:left="2614" w:hanging="360"/>
      </w:pPr>
      <w:rPr>
        <w:rFonts w:ascii="Wingdings" w:hAnsi="Wingdings" w:hint="default"/>
      </w:rPr>
    </w:lvl>
    <w:lvl w:ilvl="3" w:tplc="04260001" w:tentative="1">
      <w:start w:val="1"/>
      <w:numFmt w:val="bullet"/>
      <w:lvlText w:val=""/>
      <w:lvlJc w:val="left"/>
      <w:pPr>
        <w:ind w:left="3334" w:hanging="360"/>
      </w:pPr>
      <w:rPr>
        <w:rFonts w:ascii="Symbol" w:hAnsi="Symbol" w:hint="default"/>
      </w:rPr>
    </w:lvl>
    <w:lvl w:ilvl="4" w:tplc="04260003" w:tentative="1">
      <w:start w:val="1"/>
      <w:numFmt w:val="bullet"/>
      <w:lvlText w:val="o"/>
      <w:lvlJc w:val="left"/>
      <w:pPr>
        <w:ind w:left="4054" w:hanging="360"/>
      </w:pPr>
      <w:rPr>
        <w:rFonts w:ascii="Courier New" w:hAnsi="Courier New" w:cs="Courier New" w:hint="default"/>
      </w:rPr>
    </w:lvl>
    <w:lvl w:ilvl="5" w:tplc="04260005" w:tentative="1">
      <w:start w:val="1"/>
      <w:numFmt w:val="bullet"/>
      <w:lvlText w:val=""/>
      <w:lvlJc w:val="left"/>
      <w:pPr>
        <w:ind w:left="4774" w:hanging="360"/>
      </w:pPr>
      <w:rPr>
        <w:rFonts w:ascii="Wingdings" w:hAnsi="Wingdings" w:hint="default"/>
      </w:rPr>
    </w:lvl>
    <w:lvl w:ilvl="6" w:tplc="04260001" w:tentative="1">
      <w:start w:val="1"/>
      <w:numFmt w:val="bullet"/>
      <w:lvlText w:val=""/>
      <w:lvlJc w:val="left"/>
      <w:pPr>
        <w:ind w:left="5494" w:hanging="360"/>
      </w:pPr>
      <w:rPr>
        <w:rFonts w:ascii="Symbol" w:hAnsi="Symbol" w:hint="default"/>
      </w:rPr>
    </w:lvl>
    <w:lvl w:ilvl="7" w:tplc="04260003" w:tentative="1">
      <w:start w:val="1"/>
      <w:numFmt w:val="bullet"/>
      <w:lvlText w:val="o"/>
      <w:lvlJc w:val="left"/>
      <w:pPr>
        <w:ind w:left="6214" w:hanging="360"/>
      </w:pPr>
      <w:rPr>
        <w:rFonts w:ascii="Courier New" w:hAnsi="Courier New" w:cs="Courier New" w:hint="default"/>
      </w:rPr>
    </w:lvl>
    <w:lvl w:ilvl="8" w:tplc="04260005" w:tentative="1">
      <w:start w:val="1"/>
      <w:numFmt w:val="bullet"/>
      <w:lvlText w:val=""/>
      <w:lvlJc w:val="left"/>
      <w:pPr>
        <w:ind w:left="6934" w:hanging="360"/>
      </w:pPr>
      <w:rPr>
        <w:rFonts w:ascii="Wingdings" w:hAnsi="Wingdings" w:hint="default"/>
      </w:rPr>
    </w:lvl>
  </w:abstractNum>
  <w:abstractNum w:abstractNumId="7">
    <w:nsid w:val="17A13362"/>
    <w:multiLevelType w:val="hybridMultilevel"/>
    <w:tmpl w:val="46743F64"/>
    <w:lvl w:ilvl="0" w:tplc="2630698A">
      <w:start w:val="1"/>
      <w:numFmt w:val="bullet"/>
      <w:lvlText w:val=""/>
      <w:lvlJc w:val="left"/>
      <w:pPr>
        <w:ind w:left="1174" w:hanging="360"/>
      </w:pPr>
      <w:rPr>
        <w:rFonts w:ascii="Symbol" w:hAnsi="Symbol" w:hint="default"/>
      </w:rPr>
    </w:lvl>
    <w:lvl w:ilvl="1" w:tplc="04260003" w:tentative="1">
      <w:start w:val="1"/>
      <w:numFmt w:val="bullet"/>
      <w:lvlText w:val="o"/>
      <w:lvlJc w:val="left"/>
      <w:pPr>
        <w:ind w:left="1894" w:hanging="360"/>
      </w:pPr>
      <w:rPr>
        <w:rFonts w:ascii="Courier New" w:hAnsi="Courier New" w:cs="Courier New" w:hint="default"/>
      </w:rPr>
    </w:lvl>
    <w:lvl w:ilvl="2" w:tplc="04260005" w:tentative="1">
      <w:start w:val="1"/>
      <w:numFmt w:val="bullet"/>
      <w:lvlText w:val=""/>
      <w:lvlJc w:val="left"/>
      <w:pPr>
        <w:ind w:left="2614" w:hanging="360"/>
      </w:pPr>
      <w:rPr>
        <w:rFonts w:ascii="Wingdings" w:hAnsi="Wingdings" w:hint="default"/>
      </w:rPr>
    </w:lvl>
    <w:lvl w:ilvl="3" w:tplc="04260001" w:tentative="1">
      <w:start w:val="1"/>
      <w:numFmt w:val="bullet"/>
      <w:lvlText w:val=""/>
      <w:lvlJc w:val="left"/>
      <w:pPr>
        <w:ind w:left="3334" w:hanging="360"/>
      </w:pPr>
      <w:rPr>
        <w:rFonts w:ascii="Symbol" w:hAnsi="Symbol" w:hint="default"/>
      </w:rPr>
    </w:lvl>
    <w:lvl w:ilvl="4" w:tplc="04260003" w:tentative="1">
      <w:start w:val="1"/>
      <w:numFmt w:val="bullet"/>
      <w:lvlText w:val="o"/>
      <w:lvlJc w:val="left"/>
      <w:pPr>
        <w:ind w:left="4054" w:hanging="360"/>
      </w:pPr>
      <w:rPr>
        <w:rFonts w:ascii="Courier New" w:hAnsi="Courier New" w:cs="Courier New" w:hint="default"/>
      </w:rPr>
    </w:lvl>
    <w:lvl w:ilvl="5" w:tplc="04260005" w:tentative="1">
      <w:start w:val="1"/>
      <w:numFmt w:val="bullet"/>
      <w:lvlText w:val=""/>
      <w:lvlJc w:val="left"/>
      <w:pPr>
        <w:ind w:left="4774" w:hanging="360"/>
      </w:pPr>
      <w:rPr>
        <w:rFonts w:ascii="Wingdings" w:hAnsi="Wingdings" w:hint="default"/>
      </w:rPr>
    </w:lvl>
    <w:lvl w:ilvl="6" w:tplc="04260001" w:tentative="1">
      <w:start w:val="1"/>
      <w:numFmt w:val="bullet"/>
      <w:lvlText w:val=""/>
      <w:lvlJc w:val="left"/>
      <w:pPr>
        <w:ind w:left="5494" w:hanging="360"/>
      </w:pPr>
      <w:rPr>
        <w:rFonts w:ascii="Symbol" w:hAnsi="Symbol" w:hint="default"/>
      </w:rPr>
    </w:lvl>
    <w:lvl w:ilvl="7" w:tplc="04260003" w:tentative="1">
      <w:start w:val="1"/>
      <w:numFmt w:val="bullet"/>
      <w:lvlText w:val="o"/>
      <w:lvlJc w:val="left"/>
      <w:pPr>
        <w:ind w:left="6214" w:hanging="360"/>
      </w:pPr>
      <w:rPr>
        <w:rFonts w:ascii="Courier New" w:hAnsi="Courier New" w:cs="Courier New" w:hint="default"/>
      </w:rPr>
    </w:lvl>
    <w:lvl w:ilvl="8" w:tplc="04260005" w:tentative="1">
      <w:start w:val="1"/>
      <w:numFmt w:val="bullet"/>
      <w:lvlText w:val=""/>
      <w:lvlJc w:val="left"/>
      <w:pPr>
        <w:ind w:left="6934" w:hanging="360"/>
      </w:pPr>
      <w:rPr>
        <w:rFonts w:ascii="Wingdings" w:hAnsi="Wingdings" w:hint="default"/>
      </w:rPr>
    </w:lvl>
  </w:abstractNum>
  <w:abstractNum w:abstractNumId="8">
    <w:nsid w:val="1B6E06B1"/>
    <w:multiLevelType w:val="hybridMultilevel"/>
    <w:tmpl w:val="035C374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1BC50C46"/>
    <w:multiLevelType w:val="hybridMultilevel"/>
    <w:tmpl w:val="32B22D90"/>
    <w:lvl w:ilvl="0" w:tplc="04260001">
      <w:start w:val="1"/>
      <w:numFmt w:val="bullet"/>
      <w:lvlText w:val=""/>
      <w:lvlJc w:val="left"/>
      <w:pPr>
        <w:ind w:left="1174" w:hanging="360"/>
      </w:pPr>
      <w:rPr>
        <w:rFonts w:ascii="Symbol" w:hAnsi="Symbol" w:hint="default"/>
      </w:rPr>
    </w:lvl>
    <w:lvl w:ilvl="1" w:tplc="04260003" w:tentative="1">
      <w:start w:val="1"/>
      <w:numFmt w:val="bullet"/>
      <w:lvlText w:val="o"/>
      <w:lvlJc w:val="left"/>
      <w:pPr>
        <w:ind w:left="1894" w:hanging="360"/>
      </w:pPr>
      <w:rPr>
        <w:rFonts w:ascii="Courier New" w:hAnsi="Courier New" w:cs="Courier New" w:hint="default"/>
      </w:rPr>
    </w:lvl>
    <w:lvl w:ilvl="2" w:tplc="04260005" w:tentative="1">
      <w:start w:val="1"/>
      <w:numFmt w:val="bullet"/>
      <w:lvlText w:val=""/>
      <w:lvlJc w:val="left"/>
      <w:pPr>
        <w:ind w:left="2614" w:hanging="360"/>
      </w:pPr>
      <w:rPr>
        <w:rFonts w:ascii="Wingdings" w:hAnsi="Wingdings" w:hint="default"/>
      </w:rPr>
    </w:lvl>
    <w:lvl w:ilvl="3" w:tplc="04260001" w:tentative="1">
      <w:start w:val="1"/>
      <w:numFmt w:val="bullet"/>
      <w:lvlText w:val=""/>
      <w:lvlJc w:val="left"/>
      <w:pPr>
        <w:ind w:left="3334" w:hanging="360"/>
      </w:pPr>
      <w:rPr>
        <w:rFonts w:ascii="Symbol" w:hAnsi="Symbol" w:hint="default"/>
      </w:rPr>
    </w:lvl>
    <w:lvl w:ilvl="4" w:tplc="04260003" w:tentative="1">
      <w:start w:val="1"/>
      <w:numFmt w:val="bullet"/>
      <w:lvlText w:val="o"/>
      <w:lvlJc w:val="left"/>
      <w:pPr>
        <w:ind w:left="4054" w:hanging="360"/>
      </w:pPr>
      <w:rPr>
        <w:rFonts w:ascii="Courier New" w:hAnsi="Courier New" w:cs="Courier New" w:hint="default"/>
      </w:rPr>
    </w:lvl>
    <w:lvl w:ilvl="5" w:tplc="04260005" w:tentative="1">
      <w:start w:val="1"/>
      <w:numFmt w:val="bullet"/>
      <w:lvlText w:val=""/>
      <w:lvlJc w:val="left"/>
      <w:pPr>
        <w:ind w:left="4774" w:hanging="360"/>
      </w:pPr>
      <w:rPr>
        <w:rFonts w:ascii="Wingdings" w:hAnsi="Wingdings" w:hint="default"/>
      </w:rPr>
    </w:lvl>
    <w:lvl w:ilvl="6" w:tplc="04260001" w:tentative="1">
      <w:start w:val="1"/>
      <w:numFmt w:val="bullet"/>
      <w:lvlText w:val=""/>
      <w:lvlJc w:val="left"/>
      <w:pPr>
        <w:ind w:left="5494" w:hanging="360"/>
      </w:pPr>
      <w:rPr>
        <w:rFonts w:ascii="Symbol" w:hAnsi="Symbol" w:hint="default"/>
      </w:rPr>
    </w:lvl>
    <w:lvl w:ilvl="7" w:tplc="04260003" w:tentative="1">
      <w:start w:val="1"/>
      <w:numFmt w:val="bullet"/>
      <w:lvlText w:val="o"/>
      <w:lvlJc w:val="left"/>
      <w:pPr>
        <w:ind w:left="6214" w:hanging="360"/>
      </w:pPr>
      <w:rPr>
        <w:rFonts w:ascii="Courier New" w:hAnsi="Courier New" w:cs="Courier New" w:hint="default"/>
      </w:rPr>
    </w:lvl>
    <w:lvl w:ilvl="8" w:tplc="04260005" w:tentative="1">
      <w:start w:val="1"/>
      <w:numFmt w:val="bullet"/>
      <w:lvlText w:val=""/>
      <w:lvlJc w:val="left"/>
      <w:pPr>
        <w:ind w:left="6934" w:hanging="360"/>
      </w:pPr>
      <w:rPr>
        <w:rFonts w:ascii="Wingdings" w:hAnsi="Wingdings" w:hint="default"/>
      </w:rPr>
    </w:lvl>
  </w:abstractNum>
  <w:abstractNum w:abstractNumId="10">
    <w:nsid w:val="1EA84D50"/>
    <w:multiLevelType w:val="hybridMultilevel"/>
    <w:tmpl w:val="9B1ABBF2"/>
    <w:lvl w:ilvl="0" w:tplc="04260011">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nsid w:val="1FB3416B"/>
    <w:multiLevelType w:val="hybridMultilevel"/>
    <w:tmpl w:val="BB5A2692"/>
    <w:lvl w:ilvl="0" w:tplc="0426000F">
      <w:start w:val="1"/>
      <w:numFmt w:val="decimal"/>
      <w:lvlText w:val="%1."/>
      <w:lvlJc w:val="left"/>
      <w:pPr>
        <w:ind w:left="1125" w:hanging="360"/>
      </w:pPr>
    </w:lvl>
    <w:lvl w:ilvl="1" w:tplc="04260019">
      <w:start w:val="1"/>
      <w:numFmt w:val="lowerLetter"/>
      <w:lvlText w:val="%2."/>
      <w:lvlJc w:val="left"/>
      <w:pPr>
        <w:ind w:left="1845" w:hanging="360"/>
      </w:pPr>
    </w:lvl>
    <w:lvl w:ilvl="2" w:tplc="0426001B" w:tentative="1">
      <w:start w:val="1"/>
      <w:numFmt w:val="lowerRoman"/>
      <w:lvlText w:val="%3."/>
      <w:lvlJc w:val="right"/>
      <w:pPr>
        <w:ind w:left="2565" w:hanging="180"/>
      </w:pPr>
    </w:lvl>
    <w:lvl w:ilvl="3" w:tplc="0426000F" w:tentative="1">
      <w:start w:val="1"/>
      <w:numFmt w:val="decimal"/>
      <w:lvlText w:val="%4."/>
      <w:lvlJc w:val="left"/>
      <w:pPr>
        <w:ind w:left="3285" w:hanging="360"/>
      </w:pPr>
    </w:lvl>
    <w:lvl w:ilvl="4" w:tplc="04260019" w:tentative="1">
      <w:start w:val="1"/>
      <w:numFmt w:val="lowerLetter"/>
      <w:lvlText w:val="%5."/>
      <w:lvlJc w:val="left"/>
      <w:pPr>
        <w:ind w:left="4005" w:hanging="360"/>
      </w:pPr>
    </w:lvl>
    <w:lvl w:ilvl="5" w:tplc="0426001B" w:tentative="1">
      <w:start w:val="1"/>
      <w:numFmt w:val="lowerRoman"/>
      <w:lvlText w:val="%6."/>
      <w:lvlJc w:val="right"/>
      <w:pPr>
        <w:ind w:left="4725" w:hanging="180"/>
      </w:pPr>
    </w:lvl>
    <w:lvl w:ilvl="6" w:tplc="0426000F" w:tentative="1">
      <w:start w:val="1"/>
      <w:numFmt w:val="decimal"/>
      <w:lvlText w:val="%7."/>
      <w:lvlJc w:val="left"/>
      <w:pPr>
        <w:ind w:left="5445" w:hanging="360"/>
      </w:pPr>
    </w:lvl>
    <w:lvl w:ilvl="7" w:tplc="04260019" w:tentative="1">
      <w:start w:val="1"/>
      <w:numFmt w:val="lowerLetter"/>
      <w:lvlText w:val="%8."/>
      <w:lvlJc w:val="left"/>
      <w:pPr>
        <w:ind w:left="6165" w:hanging="360"/>
      </w:pPr>
    </w:lvl>
    <w:lvl w:ilvl="8" w:tplc="0426001B" w:tentative="1">
      <w:start w:val="1"/>
      <w:numFmt w:val="lowerRoman"/>
      <w:lvlText w:val="%9."/>
      <w:lvlJc w:val="right"/>
      <w:pPr>
        <w:ind w:left="6885" w:hanging="180"/>
      </w:pPr>
    </w:lvl>
  </w:abstractNum>
  <w:abstractNum w:abstractNumId="12">
    <w:nsid w:val="20BE4C00"/>
    <w:multiLevelType w:val="hybridMultilevel"/>
    <w:tmpl w:val="CC02DD0A"/>
    <w:lvl w:ilvl="0" w:tplc="0409000F">
      <w:start w:val="1"/>
      <w:numFmt w:val="decimal"/>
      <w:lvlText w:val="%1."/>
      <w:lvlJc w:val="left"/>
      <w:pPr>
        <w:ind w:left="750" w:hanging="360"/>
      </w:pPr>
      <w:rPr>
        <w:rFonts w:cs="Times New Roman" w:hint="default"/>
      </w:rPr>
    </w:lvl>
    <w:lvl w:ilvl="1" w:tplc="04090003">
      <w:start w:val="1"/>
      <w:numFmt w:val="bullet"/>
      <w:lvlText w:val="o"/>
      <w:lvlJc w:val="left"/>
      <w:pPr>
        <w:ind w:left="1470" w:hanging="360"/>
      </w:pPr>
      <w:rPr>
        <w:rFonts w:ascii="Courier New" w:hAnsi="Courier New" w:hint="default"/>
      </w:rPr>
    </w:lvl>
    <w:lvl w:ilvl="2" w:tplc="04260001">
      <w:start w:val="1"/>
      <w:numFmt w:val="bullet"/>
      <w:lvlText w:val=""/>
      <w:lvlJc w:val="left"/>
      <w:pPr>
        <w:tabs>
          <w:tab w:val="num" w:pos="2190"/>
        </w:tabs>
        <w:ind w:left="2190" w:hanging="360"/>
      </w:pPr>
      <w:rPr>
        <w:rFonts w:ascii="Symbol" w:hAnsi="Symbol"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3">
    <w:nsid w:val="22F66C06"/>
    <w:multiLevelType w:val="hybridMultilevel"/>
    <w:tmpl w:val="44083B02"/>
    <w:lvl w:ilvl="0" w:tplc="0426000F">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25BB3C39"/>
    <w:multiLevelType w:val="hybridMultilevel"/>
    <w:tmpl w:val="50A648DC"/>
    <w:lvl w:ilvl="0" w:tplc="04260001">
      <w:start w:val="1"/>
      <w:numFmt w:val="bullet"/>
      <w:lvlText w:val=""/>
      <w:lvlJc w:val="left"/>
      <w:pPr>
        <w:ind w:left="1174" w:hanging="360"/>
      </w:pPr>
      <w:rPr>
        <w:rFonts w:ascii="Symbol" w:hAnsi="Symbol" w:hint="default"/>
      </w:rPr>
    </w:lvl>
    <w:lvl w:ilvl="1" w:tplc="04260003" w:tentative="1">
      <w:start w:val="1"/>
      <w:numFmt w:val="bullet"/>
      <w:lvlText w:val="o"/>
      <w:lvlJc w:val="left"/>
      <w:pPr>
        <w:ind w:left="1894" w:hanging="360"/>
      </w:pPr>
      <w:rPr>
        <w:rFonts w:ascii="Courier New" w:hAnsi="Courier New" w:cs="Courier New" w:hint="default"/>
      </w:rPr>
    </w:lvl>
    <w:lvl w:ilvl="2" w:tplc="04260005" w:tentative="1">
      <w:start w:val="1"/>
      <w:numFmt w:val="bullet"/>
      <w:lvlText w:val=""/>
      <w:lvlJc w:val="left"/>
      <w:pPr>
        <w:ind w:left="2614" w:hanging="360"/>
      </w:pPr>
      <w:rPr>
        <w:rFonts w:ascii="Wingdings" w:hAnsi="Wingdings" w:hint="default"/>
      </w:rPr>
    </w:lvl>
    <w:lvl w:ilvl="3" w:tplc="04260001" w:tentative="1">
      <w:start w:val="1"/>
      <w:numFmt w:val="bullet"/>
      <w:lvlText w:val=""/>
      <w:lvlJc w:val="left"/>
      <w:pPr>
        <w:ind w:left="3334" w:hanging="360"/>
      </w:pPr>
      <w:rPr>
        <w:rFonts w:ascii="Symbol" w:hAnsi="Symbol" w:hint="default"/>
      </w:rPr>
    </w:lvl>
    <w:lvl w:ilvl="4" w:tplc="04260003" w:tentative="1">
      <w:start w:val="1"/>
      <w:numFmt w:val="bullet"/>
      <w:lvlText w:val="o"/>
      <w:lvlJc w:val="left"/>
      <w:pPr>
        <w:ind w:left="4054" w:hanging="360"/>
      </w:pPr>
      <w:rPr>
        <w:rFonts w:ascii="Courier New" w:hAnsi="Courier New" w:cs="Courier New" w:hint="default"/>
      </w:rPr>
    </w:lvl>
    <w:lvl w:ilvl="5" w:tplc="04260005" w:tentative="1">
      <w:start w:val="1"/>
      <w:numFmt w:val="bullet"/>
      <w:lvlText w:val=""/>
      <w:lvlJc w:val="left"/>
      <w:pPr>
        <w:ind w:left="4774" w:hanging="360"/>
      </w:pPr>
      <w:rPr>
        <w:rFonts w:ascii="Wingdings" w:hAnsi="Wingdings" w:hint="default"/>
      </w:rPr>
    </w:lvl>
    <w:lvl w:ilvl="6" w:tplc="04260001" w:tentative="1">
      <w:start w:val="1"/>
      <w:numFmt w:val="bullet"/>
      <w:lvlText w:val=""/>
      <w:lvlJc w:val="left"/>
      <w:pPr>
        <w:ind w:left="5494" w:hanging="360"/>
      </w:pPr>
      <w:rPr>
        <w:rFonts w:ascii="Symbol" w:hAnsi="Symbol" w:hint="default"/>
      </w:rPr>
    </w:lvl>
    <w:lvl w:ilvl="7" w:tplc="04260003" w:tentative="1">
      <w:start w:val="1"/>
      <w:numFmt w:val="bullet"/>
      <w:lvlText w:val="o"/>
      <w:lvlJc w:val="left"/>
      <w:pPr>
        <w:ind w:left="6214" w:hanging="360"/>
      </w:pPr>
      <w:rPr>
        <w:rFonts w:ascii="Courier New" w:hAnsi="Courier New" w:cs="Courier New" w:hint="default"/>
      </w:rPr>
    </w:lvl>
    <w:lvl w:ilvl="8" w:tplc="04260005" w:tentative="1">
      <w:start w:val="1"/>
      <w:numFmt w:val="bullet"/>
      <w:lvlText w:val=""/>
      <w:lvlJc w:val="left"/>
      <w:pPr>
        <w:ind w:left="6934" w:hanging="360"/>
      </w:pPr>
      <w:rPr>
        <w:rFonts w:ascii="Wingdings" w:hAnsi="Wingdings" w:hint="default"/>
      </w:rPr>
    </w:lvl>
  </w:abstractNum>
  <w:abstractNum w:abstractNumId="15">
    <w:nsid w:val="2B964CE4"/>
    <w:multiLevelType w:val="hybridMultilevel"/>
    <w:tmpl w:val="27C62C76"/>
    <w:lvl w:ilvl="0" w:tplc="2630698A">
      <w:start w:val="1"/>
      <w:numFmt w:val="bullet"/>
      <w:lvlText w:val=""/>
      <w:lvlJc w:val="left"/>
      <w:pPr>
        <w:ind w:left="1174"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nsid w:val="2F19139C"/>
    <w:multiLevelType w:val="multilevel"/>
    <w:tmpl w:val="78BC4B6A"/>
    <w:lvl w:ilvl="0">
      <w:start w:val="1"/>
      <w:numFmt w:val="decimal"/>
      <w:pStyle w:val="Heading1"/>
      <w:lvlText w:val="%1."/>
      <w:lvlJc w:val="left"/>
      <w:pPr>
        <w:ind w:left="720" w:hanging="360"/>
      </w:pPr>
    </w:lvl>
    <w:lvl w:ilvl="1">
      <w:start w:val="1"/>
      <w:numFmt w:val="decimal"/>
      <w:isLgl/>
      <w:lvlText w:val="%1.%2."/>
      <w:lvlJc w:val="left"/>
      <w:pPr>
        <w:ind w:left="1400" w:hanging="720"/>
      </w:pPr>
      <w:rPr>
        <w:rFonts w:hint="default"/>
      </w:rPr>
    </w:lvl>
    <w:lvl w:ilvl="2">
      <w:start w:val="1"/>
      <w:numFmt w:val="decimal"/>
      <w:isLgl/>
      <w:lvlText w:val="%1.%2.%3."/>
      <w:lvlJc w:val="left"/>
      <w:pPr>
        <w:ind w:left="1720" w:hanging="720"/>
      </w:pPr>
      <w:rPr>
        <w:rFonts w:hint="default"/>
      </w:rPr>
    </w:lvl>
    <w:lvl w:ilvl="3">
      <w:start w:val="1"/>
      <w:numFmt w:val="decimal"/>
      <w:isLgl/>
      <w:lvlText w:val="%1.%2.%3.%4."/>
      <w:lvlJc w:val="left"/>
      <w:pPr>
        <w:ind w:left="2400" w:hanging="1080"/>
      </w:pPr>
      <w:rPr>
        <w:rFonts w:hint="default"/>
      </w:rPr>
    </w:lvl>
    <w:lvl w:ilvl="4">
      <w:start w:val="1"/>
      <w:numFmt w:val="decimal"/>
      <w:isLgl/>
      <w:lvlText w:val="%1.%2.%3.%4.%5."/>
      <w:lvlJc w:val="left"/>
      <w:pPr>
        <w:ind w:left="2720" w:hanging="1080"/>
      </w:pPr>
      <w:rPr>
        <w:rFonts w:hint="default"/>
      </w:rPr>
    </w:lvl>
    <w:lvl w:ilvl="5">
      <w:start w:val="1"/>
      <w:numFmt w:val="decimal"/>
      <w:isLgl/>
      <w:lvlText w:val="%1.%2.%3.%4.%5.%6."/>
      <w:lvlJc w:val="left"/>
      <w:pPr>
        <w:ind w:left="3400" w:hanging="1440"/>
      </w:pPr>
      <w:rPr>
        <w:rFonts w:hint="default"/>
      </w:rPr>
    </w:lvl>
    <w:lvl w:ilvl="6">
      <w:start w:val="1"/>
      <w:numFmt w:val="decimal"/>
      <w:isLgl/>
      <w:lvlText w:val="%1.%2.%3.%4.%5.%6.%7."/>
      <w:lvlJc w:val="left"/>
      <w:pPr>
        <w:ind w:left="4080" w:hanging="1800"/>
      </w:pPr>
      <w:rPr>
        <w:rFonts w:hint="default"/>
      </w:rPr>
    </w:lvl>
    <w:lvl w:ilvl="7">
      <w:start w:val="1"/>
      <w:numFmt w:val="decimal"/>
      <w:isLgl/>
      <w:lvlText w:val="%1.%2.%3.%4.%5.%6.%7.%8."/>
      <w:lvlJc w:val="left"/>
      <w:pPr>
        <w:ind w:left="4400" w:hanging="1800"/>
      </w:pPr>
      <w:rPr>
        <w:rFonts w:hint="default"/>
      </w:rPr>
    </w:lvl>
    <w:lvl w:ilvl="8">
      <w:start w:val="1"/>
      <w:numFmt w:val="decimal"/>
      <w:isLgl/>
      <w:lvlText w:val="%1.%2.%3.%4.%5.%6.%7.%8.%9."/>
      <w:lvlJc w:val="left"/>
      <w:pPr>
        <w:ind w:left="5080" w:hanging="2160"/>
      </w:pPr>
      <w:rPr>
        <w:rFonts w:hint="default"/>
      </w:rPr>
    </w:lvl>
  </w:abstractNum>
  <w:abstractNum w:abstractNumId="17">
    <w:nsid w:val="30E87DEC"/>
    <w:multiLevelType w:val="hybridMultilevel"/>
    <w:tmpl w:val="465CB848"/>
    <w:lvl w:ilvl="0" w:tplc="04260001">
      <w:start w:val="1"/>
      <w:numFmt w:val="bullet"/>
      <w:lvlText w:val=""/>
      <w:lvlJc w:val="left"/>
      <w:pPr>
        <w:ind w:left="1077" w:hanging="360"/>
      </w:pPr>
      <w:rPr>
        <w:rFonts w:ascii="Symbol" w:hAnsi="Symbol" w:hint="default"/>
      </w:rPr>
    </w:lvl>
    <w:lvl w:ilvl="1" w:tplc="04260003" w:tentative="1">
      <w:start w:val="1"/>
      <w:numFmt w:val="bullet"/>
      <w:lvlText w:val="o"/>
      <w:lvlJc w:val="left"/>
      <w:pPr>
        <w:ind w:left="1797" w:hanging="360"/>
      </w:pPr>
      <w:rPr>
        <w:rFonts w:ascii="Courier New" w:hAnsi="Courier New" w:cs="Courier New" w:hint="default"/>
      </w:rPr>
    </w:lvl>
    <w:lvl w:ilvl="2" w:tplc="04260005" w:tentative="1">
      <w:start w:val="1"/>
      <w:numFmt w:val="bullet"/>
      <w:lvlText w:val=""/>
      <w:lvlJc w:val="left"/>
      <w:pPr>
        <w:ind w:left="2517" w:hanging="360"/>
      </w:pPr>
      <w:rPr>
        <w:rFonts w:ascii="Wingdings" w:hAnsi="Wingdings" w:hint="default"/>
      </w:rPr>
    </w:lvl>
    <w:lvl w:ilvl="3" w:tplc="04260001" w:tentative="1">
      <w:start w:val="1"/>
      <w:numFmt w:val="bullet"/>
      <w:lvlText w:val=""/>
      <w:lvlJc w:val="left"/>
      <w:pPr>
        <w:ind w:left="3237" w:hanging="360"/>
      </w:pPr>
      <w:rPr>
        <w:rFonts w:ascii="Symbol" w:hAnsi="Symbol" w:hint="default"/>
      </w:rPr>
    </w:lvl>
    <w:lvl w:ilvl="4" w:tplc="04260003" w:tentative="1">
      <w:start w:val="1"/>
      <w:numFmt w:val="bullet"/>
      <w:lvlText w:val="o"/>
      <w:lvlJc w:val="left"/>
      <w:pPr>
        <w:ind w:left="3957" w:hanging="360"/>
      </w:pPr>
      <w:rPr>
        <w:rFonts w:ascii="Courier New" w:hAnsi="Courier New" w:cs="Courier New" w:hint="default"/>
      </w:rPr>
    </w:lvl>
    <w:lvl w:ilvl="5" w:tplc="04260005" w:tentative="1">
      <w:start w:val="1"/>
      <w:numFmt w:val="bullet"/>
      <w:lvlText w:val=""/>
      <w:lvlJc w:val="left"/>
      <w:pPr>
        <w:ind w:left="4677" w:hanging="360"/>
      </w:pPr>
      <w:rPr>
        <w:rFonts w:ascii="Wingdings" w:hAnsi="Wingdings" w:hint="default"/>
      </w:rPr>
    </w:lvl>
    <w:lvl w:ilvl="6" w:tplc="04260001" w:tentative="1">
      <w:start w:val="1"/>
      <w:numFmt w:val="bullet"/>
      <w:lvlText w:val=""/>
      <w:lvlJc w:val="left"/>
      <w:pPr>
        <w:ind w:left="5397" w:hanging="360"/>
      </w:pPr>
      <w:rPr>
        <w:rFonts w:ascii="Symbol" w:hAnsi="Symbol" w:hint="default"/>
      </w:rPr>
    </w:lvl>
    <w:lvl w:ilvl="7" w:tplc="04260003" w:tentative="1">
      <w:start w:val="1"/>
      <w:numFmt w:val="bullet"/>
      <w:lvlText w:val="o"/>
      <w:lvlJc w:val="left"/>
      <w:pPr>
        <w:ind w:left="6117" w:hanging="360"/>
      </w:pPr>
      <w:rPr>
        <w:rFonts w:ascii="Courier New" w:hAnsi="Courier New" w:cs="Courier New" w:hint="default"/>
      </w:rPr>
    </w:lvl>
    <w:lvl w:ilvl="8" w:tplc="04260005" w:tentative="1">
      <w:start w:val="1"/>
      <w:numFmt w:val="bullet"/>
      <w:lvlText w:val=""/>
      <w:lvlJc w:val="left"/>
      <w:pPr>
        <w:ind w:left="6837" w:hanging="360"/>
      </w:pPr>
      <w:rPr>
        <w:rFonts w:ascii="Wingdings" w:hAnsi="Wingdings" w:hint="default"/>
      </w:rPr>
    </w:lvl>
  </w:abstractNum>
  <w:abstractNum w:abstractNumId="18">
    <w:nsid w:val="321057F1"/>
    <w:multiLevelType w:val="hybridMultilevel"/>
    <w:tmpl w:val="ED184BE8"/>
    <w:lvl w:ilvl="0" w:tplc="04260001">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19">
    <w:nsid w:val="337428CC"/>
    <w:multiLevelType w:val="hybridMultilevel"/>
    <w:tmpl w:val="A22E4F44"/>
    <w:lvl w:ilvl="0" w:tplc="04260001">
      <w:start w:val="1"/>
      <w:numFmt w:val="bullet"/>
      <w:lvlText w:val=""/>
      <w:lvlJc w:val="left"/>
      <w:pPr>
        <w:ind w:left="1174" w:hanging="360"/>
      </w:pPr>
      <w:rPr>
        <w:rFonts w:ascii="Symbol" w:hAnsi="Symbol" w:hint="default"/>
      </w:rPr>
    </w:lvl>
    <w:lvl w:ilvl="1" w:tplc="04260003" w:tentative="1">
      <w:start w:val="1"/>
      <w:numFmt w:val="bullet"/>
      <w:lvlText w:val="o"/>
      <w:lvlJc w:val="left"/>
      <w:pPr>
        <w:ind w:left="1894" w:hanging="360"/>
      </w:pPr>
      <w:rPr>
        <w:rFonts w:ascii="Courier New" w:hAnsi="Courier New" w:cs="Courier New" w:hint="default"/>
      </w:rPr>
    </w:lvl>
    <w:lvl w:ilvl="2" w:tplc="04260005" w:tentative="1">
      <w:start w:val="1"/>
      <w:numFmt w:val="bullet"/>
      <w:lvlText w:val=""/>
      <w:lvlJc w:val="left"/>
      <w:pPr>
        <w:ind w:left="2614" w:hanging="360"/>
      </w:pPr>
      <w:rPr>
        <w:rFonts w:ascii="Wingdings" w:hAnsi="Wingdings" w:hint="default"/>
      </w:rPr>
    </w:lvl>
    <w:lvl w:ilvl="3" w:tplc="04260001" w:tentative="1">
      <w:start w:val="1"/>
      <w:numFmt w:val="bullet"/>
      <w:lvlText w:val=""/>
      <w:lvlJc w:val="left"/>
      <w:pPr>
        <w:ind w:left="3334" w:hanging="360"/>
      </w:pPr>
      <w:rPr>
        <w:rFonts w:ascii="Symbol" w:hAnsi="Symbol" w:hint="default"/>
      </w:rPr>
    </w:lvl>
    <w:lvl w:ilvl="4" w:tplc="04260003" w:tentative="1">
      <w:start w:val="1"/>
      <w:numFmt w:val="bullet"/>
      <w:lvlText w:val="o"/>
      <w:lvlJc w:val="left"/>
      <w:pPr>
        <w:ind w:left="4054" w:hanging="360"/>
      </w:pPr>
      <w:rPr>
        <w:rFonts w:ascii="Courier New" w:hAnsi="Courier New" w:cs="Courier New" w:hint="default"/>
      </w:rPr>
    </w:lvl>
    <w:lvl w:ilvl="5" w:tplc="04260005" w:tentative="1">
      <w:start w:val="1"/>
      <w:numFmt w:val="bullet"/>
      <w:lvlText w:val=""/>
      <w:lvlJc w:val="left"/>
      <w:pPr>
        <w:ind w:left="4774" w:hanging="360"/>
      </w:pPr>
      <w:rPr>
        <w:rFonts w:ascii="Wingdings" w:hAnsi="Wingdings" w:hint="default"/>
      </w:rPr>
    </w:lvl>
    <w:lvl w:ilvl="6" w:tplc="04260001" w:tentative="1">
      <w:start w:val="1"/>
      <w:numFmt w:val="bullet"/>
      <w:lvlText w:val=""/>
      <w:lvlJc w:val="left"/>
      <w:pPr>
        <w:ind w:left="5494" w:hanging="360"/>
      </w:pPr>
      <w:rPr>
        <w:rFonts w:ascii="Symbol" w:hAnsi="Symbol" w:hint="default"/>
      </w:rPr>
    </w:lvl>
    <w:lvl w:ilvl="7" w:tplc="04260003" w:tentative="1">
      <w:start w:val="1"/>
      <w:numFmt w:val="bullet"/>
      <w:lvlText w:val="o"/>
      <w:lvlJc w:val="left"/>
      <w:pPr>
        <w:ind w:left="6214" w:hanging="360"/>
      </w:pPr>
      <w:rPr>
        <w:rFonts w:ascii="Courier New" w:hAnsi="Courier New" w:cs="Courier New" w:hint="default"/>
      </w:rPr>
    </w:lvl>
    <w:lvl w:ilvl="8" w:tplc="04260005" w:tentative="1">
      <w:start w:val="1"/>
      <w:numFmt w:val="bullet"/>
      <w:lvlText w:val=""/>
      <w:lvlJc w:val="left"/>
      <w:pPr>
        <w:ind w:left="6934" w:hanging="360"/>
      </w:pPr>
      <w:rPr>
        <w:rFonts w:ascii="Wingdings" w:hAnsi="Wingdings" w:hint="default"/>
      </w:rPr>
    </w:lvl>
  </w:abstractNum>
  <w:abstractNum w:abstractNumId="20">
    <w:nsid w:val="34BC513E"/>
    <w:multiLevelType w:val="hybridMultilevel"/>
    <w:tmpl w:val="55B09170"/>
    <w:lvl w:ilvl="0" w:tplc="04260001">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21">
    <w:nsid w:val="360E78AB"/>
    <w:multiLevelType w:val="hybridMultilevel"/>
    <w:tmpl w:val="04465058"/>
    <w:lvl w:ilvl="0" w:tplc="04260001">
      <w:start w:val="1"/>
      <w:numFmt w:val="bullet"/>
      <w:lvlText w:val=""/>
      <w:lvlJc w:val="left"/>
      <w:pPr>
        <w:ind w:left="1650" w:hanging="360"/>
      </w:pPr>
      <w:rPr>
        <w:rFonts w:ascii="Symbol" w:hAnsi="Symbol" w:hint="default"/>
      </w:rPr>
    </w:lvl>
    <w:lvl w:ilvl="1" w:tplc="04260003" w:tentative="1">
      <w:start w:val="1"/>
      <w:numFmt w:val="bullet"/>
      <w:lvlText w:val="o"/>
      <w:lvlJc w:val="left"/>
      <w:pPr>
        <w:ind w:left="2370" w:hanging="360"/>
      </w:pPr>
      <w:rPr>
        <w:rFonts w:ascii="Courier New" w:hAnsi="Courier New" w:cs="Courier New" w:hint="default"/>
      </w:rPr>
    </w:lvl>
    <w:lvl w:ilvl="2" w:tplc="04260005" w:tentative="1">
      <w:start w:val="1"/>
      <w:numFmt w:val="bullet"/>
      <w:lvlText w:val=""/>
      <w:lvlJc w:val="left"/>
      <w:pPr>
        <w:ind w:left="3090" w:hanging="360"/>
      </w:pPr>
      <w:rPr>
        <w:rFonts w:ascii="Wingdings" w:hAnsi="Wingdings" w:hint="default"/>
      </w:rPr>
    </w:lvl>
    <w:lvl w:ilvl="3" w:tplc="04260001" w:tentative="1">
      <w:start w:val="1"/>
      <w:numFmt w:val="bullet"/>
      <w:lvlText w:val=""/>
      <w:lvlJc w:val="left"/>
      <w:pPr>
        <w:ind w:left="3810" w:hanging="360"/>
      </w:pPr>
      <w:rPr>
        <w:rFonts w:ascii="Symbol" w:hAnsi="Symbol" w:hint="default"/>
      </w:rPr>
    </w:lvl>
    <w:lvl w:ilvl="4" w:tplc="04260003" w:tentative="1">
      <w:start w:val="1"/>
      <w:numFmt w:val="bullet"/>
      <w:lvlText w:val="o"/>
      <w:lvlJc w:val="left"/>
      <w:pPr>
        <w:ind w:left="4530" w:hanging="360"/>
      </w:pPr>
      <w:rPr>
        <w:rFonts w:ascii="Courier New" w:hAnsi="Courier New" w:cs="Courier New" w:hint="default"/>
      </w:rPr>
    </w:lvl>
    <w:lvl w:ilvl="5" w:tplc="04260005" w:tentative="1">
      <w:start w:val="1"/>
      <w:numFmt w:val="bullet"/>
      <w:lvlText w:val=""/>
      <w:lvlJc w:val="left"/>
      <w:pPr>
        <w:ind w:left="5250" w:hanging="360"/>
      </w:pPr>
      <w:rPr>
        <w:rFonts w:ascii="Wingdings" w:hAnsi="Wingdings" w:hint="default"/>
      </w:rPr>
    </w:lvl>
    <w:lvl w:ilvl="6" w:tplc="04260001" w:tentative="1">
      <w:start w:val="1"/>
      <w:numFmt w:val="bullet"/>
      <w:lvlText w:val=""/>
      <w:lvlJc w:val="left"/>
      <w:pPr>
        <w:ind w:left="5970" w:hanging="360"/>
      </w:pPr>
      <w:rPr>
        <w:rFonts w:ascii="Symbol" w:hAnsi="Symbol" w:hint="default"/>
      </w:rPr>
    </w:lvl>
    <w:lvl w:ilvl="7" w:tplc="04260003" w:tentative="1">
      <w:start w:val="1"/>
      <w:numFmt w:val="bullet"/>
      <w:lvlText w:val="o"/>
      <w:lvlJc w:val="left"/>
      <w:pPr>
        <w:ind w:left="6690" w:hanging="360"/>
      </w:pPr>
      <w:rPr>
        <w:rFonts w:ascii="Courier New" w:hAnsi="Courier New" w:cs="Courier New" w:hint="default"/>
      </w:rPr>
    </w:lvl>
    <w:lvl w:ilvl="8" w:tplc="04260005" w:tentative="1">
      <w:start w:val="1"/>
      <w:numFmt w:val="bullet"/>
      <w:lvlText w:val=""/>
      <w:lvlJc w:val="left"/>
      <w:pPr>
        <w:ind w:left="7410" w:hanging="360"/>
      </w:pPr>
      <w:rPr>
        <w:rFonts w:ascii="Wingdings" w:hAnsi="Wingdings" w:hint="default"/>
      </w:rPr>
    </w:lvl>
  </w:abstractNum>
  <w:abstractNum w:abstractNumId="22">
    <w:nsid w:val="3D897EE4"/>
    <w:multiLevelType w:val="hybridMultilevel"/>
    <w:tmpl w:val="753CEC4C"/>
    <w:lvl w:ilvl="0" w:tplc="2630698A">
      <w:start w:val="1"/>
      <w:numFmt w:val="bullet"/>
      <w:lvlText w:val=""/>
      <w:lvlJc w:val="left"/>
      <w:pPr>
        <w:ind w:left="1174" w:hanging="360"/>
      </w:pPr>
      <w:rPr>
        <w:rFonts w:ascii="Symbol" w:hAnsi="Symbol" w:hint="default"/>
      </w:rPr>
    </w:lvl>
    <w:lvl w:ilvl="1" w:tplc="04260003" w:tentative="1">
      <w:start w:val="1"/>
      <w:numFmt w:val="bullet"/>
      <w:lvlText w:val="o"/>
      <w:lvlJc w:val="left"/>
      <w:pPr>
        <w:ind w:left="1894" w:hanging="360"/>
      </w:pPr>
      <w:rPr>
        <w:rFonts w:ascii="Courier New" w:hAnsi="Courier New" w:cs="Courier New" w:hint="default"/>
      </w:rPr>
    </w:lvl>
    <w:lvl w:ilvl="2" w:tplc="04260005" w:tentative="1">
      <w:start w:val="1"/>
      <w:numFmt w:val="bullet"/>
      <w:lvlText w:val=""/>
      <w:lvlJc w:val="left"/>
      <w:pPr>
        <w:ind w:left="2614" w:hanging="360"/>
      </w:pPr>
      <w:rPr>
        <w:rFonts w:ascii="Wingdings" w:hAnsi="Wingdings" w:hint="default"/>
      </w:rPr>
    </w:lvl>
    <w:lvl w:ilvl="3" w:tplc="04260001" w:tentative="1">
      <w:start w:val="1"/>
      <w:numFmt w:val="bullet"/>
      <w:lvlText w:val=""/>
      <w:lvlJc w:val="left"/>
      <w:pPr>
        <w:ind w:left="3334" w:hanging="360"/>
      </w:pPr>
      <w:rPr>
        <w:rFonts w:ascii="Symbol" w:hAnsi="Symbol" w:hint="default"/>
      </w:rPr>
    </w:lvl>
    <w:lvl w:ilvl="4" w:tplc="04260003" w:tentative="1">
      <w:start w:val="1"/>
      <w:numFmt w:val="bullet"/>
      <w:lvlText w:val="o"/>
      <w:lvlJc w:val="left"/>
      <w:pPr>
        <w:ind w:left="4054" w:hanging="360"/>
      </w:pPr>
      <w:rPr>
        <w:rFonts w:ascii="Courier New" w:hAnsi="Courier New" w:cs="Courier New" w:hint="default"/>
      </w:rPr>
    </w:lvl>
    <w:lvl w:ilvl="5" w:tplc="04260005" w:tentative="1">
      <w:start w:val="1"/>
      <w:numFmt w:val="bullet"/>
      <w:lvlText w:val=""/>
      <w:lvlJc w:val="left"/>
      <w:pPr>
        <w:ind w:left="4774" w:hanging="360"/>
      </w:pPr>
      <w:rPr>
        <w:rFonts w:ascii="Wingdings" w:hAnsi="Wingdings" w:hint="default"/>
      </w:rPr>
    </w:lvl>
    <w:lvl w:ilvl="6" w:tplc="04260001" w:tentative="1">
      <w:start w:val="1"/>
      <w:numFmt w:val="bullet"/>
      <w:lvlText w:val=""/>
      <w:lvlJc w:val="left"/>
      <w:pPr>
        <w:ind w:left="5494" w:hanging="360"/>
      </w:pPr>
      <w:rPr>
        <w:rFonts w:ascii="Symbol" w:hAnsi="Symbol" w:hint="default"/>
      </w:rPr>
    </w:lvl>
    <w:lvl w:ilvl="7" w:tplc="04260003" w:tentative="1">
      <w:start w:val="1"/>
      <w:numFmt w:val="bullet"/>
      <w:lvlText w:val="o"/>
      <w:lvlJc w:val="left"/>
      <w:pPr>
        <w:ind w:left="6214" w:hanging="360"/>
      </w:pPr>
      <w:rPr>
        <w:rFonts w:ascii="Courier New" w:hAnsi="Courier New" w:cs="Courier New" w:hint="default"/>
      </w:rPr>
    </w:lvl>
    <w:lvl w:ilvl="8" w:tplc="04260005" w:tentative="1">
      <w:start w:val="1"/>
      <w:numFmt w:val="bullet"/>
      <w:lvlText w:val=""/>
      <w:lvlJc w:val="left"/>
      <w:pPr>
        <w:ind w:left="6934" w:hanging="360"/>
      </w:pPr>
      <w:rPr>
        <w:rFonts w:ascii="Wingdings" w:hAnsi="Wingdings" w:hint="default"/>
      </w:rPr>
    </w:lvl>
  </w:abstractNum>
  <w:abstractNum w:abstractNumId="23">
    <w:nsid w:val="3E532A56"/>
    <w:multiLevelType w:val="hybridMultilevel"/>
    <w:tmpl w:val="E20A4EB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nsid w:val="412608E0"/>
    <w:multiLevelType w:val="hybridMultilevel"/>
    <w:tmpl w:val="331C1FF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nsid w:val="439456E0"/>
    <w:multiLevelType w:val="hybridMultilevel"/>
    <w:tmpl w:val="1C5EA64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nsid w:val="45CD0018"/>
    <w:multiLevelType w:val="hybridMultilevel"/>
    <w:tmpl w:val="6BDA1210"/>
    <w:lvl w:ilvl="0" w:tplc="04260001">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27">
    <w:nsid w:val="45DD7602"/>
    <w:multiLevelType w:val="hybridMultilevel"/>
    <w:tmpl w:val="E4B20B88"/>
    <w:lvl w:ilvl="0" w:tplc="04260001">
      <w:start w:val="1"/>
      <w:numFmt w:val="bullet"/>
      <w:lvlText w:val=""/>
      <w:lvlJc w:val="left"/>
      <w:pPr>
        <w:ind w:left="1174" w:hanging="360"/>
      </w:pPr>
      <w:rPr>
        <w:rFonts w:ascii="Symbol" w:hAnsi="Symbol" w:hint="default"/>
      </w:rPr>
    </w:lvl>
    <w:lvl w:ilvl="1" w:tplc="04260003" w:tentative="1">
      <w:start w:val="1"/>
      <w:numFmt w:val="bullet"/>
      <w:lvlText w:val="o"/>
      <w:lvlJc w:val="left"/>
      <w:pPr>
        <w:ind w:left="1894" w:hanging="360"/>
      </w:pPr>
      <w:rPr>
        <w:rFonts w:ascii="Courier New" w:hAnsi="Courier New" w:cs="Courier New" w:hint="default"/>
      </w:rPr>
    </w:lvl>
    <w:lvl w:ilvl="2" w:tplc="04260005" w:tentative="1">
      <w:start w:val="1"/>
      <w:numFmt w:val="bullet"/>
      <w:lvlText w:val=""/>
      <w:lvlJc w:val="left"/>
      <w:pPr>
        <w:ind w:left="2614" w:hanging="360"/>
      </w:pPr>
      <w:rPr>
        <w:rFonts w:ascii="Wingdings" w:hAnsi="Wingdings" w:hint="default"/>
      </w:rPr>
    </w:lvl>
    <w:lvl w:ilvl="3" w:tplc="04260001" w:tentative="1">
      <w:start w:val="1"/>
      <w:numFmt w:val="bullet"/>
      <w:lvlText w:val=""/>
      <w:lvlJc w:val="left"/>
      <w:pPr>
        <w:ind w:left="3334" w:hanging="360"/>
      </w:pPr>
      <w:rPr>
        <w:rFonts w:ascii="Symbol" w:hAnsi="Symbol" w:hint="default"/>
      </w:rPr>
    </w:lvl>
    <w:lvl w:ilvl="4" w:tplc="04260003" w:tentative="1">
      <w:start w:val="1"/>
      <w:numFmt w:val="bullet"/>
      <w:lvlText w:val="o"/>
      <w:lvlJc w:val="left"/>
      <w:pPr>
        <w:ind w:left="4054" w:hanging="360"/>
      </w:pPr>
      <w:rPr>
        <w:rFonts w:ascii="Courier New" w:hAnsi="Courier New" w:cs="Courier New" w:hint="default"/>
      </w:rPr>
    </w:lvl>
    <w:lvl w:ilvl="5" w:tplc="04260005" w:tentative="1">
      <w:start w:val="1"/>
      <w:numFmt w:val="bullet"/>
      <w:lvlText w:val=""/>
      <w:lvlJc w:val="left"/>
      <w:pPr>
        <w:ind w:left="4774" w:hanging="360"/>
      </w:pPr>
      <w:rPr>
        <w:rFonts w:ascii="Wingdings" w:hAnsi="Wingdings" w:hint="default"/>
      </w:rPr>
    </w:lvl>
    <w:lvl w:ilvl="6" w:tplc="04260001" w:tentative="1">
      <w:start w:val="1"/>
      <w:numFmt w:val="bullet"/>
      <w:lvlText w:val=""/>
      <w:lvlJc w:val="left"/>
      <w:pPr>
        <w:ind w:left="5494" w:hanging="360"/>
      </w:pPr>
      <w:rPr>
        <w:rFonts w:ascii="Symbol" w:hAnsi="Symbol" w:hint="default"/>
      </w:rPr>
    </w:lvl>
    <w:lvl w:ilvl="7" w:tplc="04260003" w:tentative="1">
      <w:start w:val="1"/>
      <w:numFmt w:val="bullet"/>
      <w:lvlText w:val="o"/>
      <w:lvlJc w:val="left"/>
      <w:pPr>
        <w:ind w:left="6214" w:hanging="360"/>
      </w:pPr>
      <w:rPr>
        <w:rFonts w:ascii="Courier New" w:hAnsi="Courier New" w:cs="Courier New" w:hint="default"/>
      </w:rPr>
    </w:lvl>
    <w:lvl w:ilvl="8" w:tplc="04260005" w:tentative="1">
      <w:start w:val="1"/>
      <w:numFmt w:val="bullet"/>
      <w:lvlText w:val=""/>
      <w:lvlJc w:val="left"/>
      <w:pPr>
        <w:ind w:left="6934" w:hanging="360"/>
      </w:pPr>
      <w:rPr>
        <w:rFonts w:ascii="Wingdings" w:hAnsi="Wingdings" w:hint="default"/>
      </w:rPr>
    </w:lvl>
  </w:abstractNum>
  <w:abstractNum w:abstractNumId="28">
    <w:nsid w:val="4C006928"/>
    <w:multiLevelType w:val="hybridMultilevel"/>
    <w:tmpl w:val="DB226628"/>
    <w:lvl w:ilvl="0" w:tplc="04260001">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29">
    <w:nsid w:val="4FB356C7"/>
    <w:multiLevelType w:val="hybridMultilevel"/>
    <w:tmpl w:val="A072AA7E"/>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30">
    <w:nsid w:val="55B012D2"/>
    <w:multiLevelType w:val="hybridMultilevel"/>
    <w:tmpl w:val="BB227A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nsid w:val="56FC5275"/>
    <w:multiLevelType w:val="hybridMultilevel"/>
    <w:tmpl w:val="21AAF026"/>
    <w:lvl w:ilvl="0" w:tplc="87821E7A">
      <w:start w:val="1"/>
      <w:numFmt w:val="decimal"/>
      <w:lvlText w:val="1.%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2">
    <w:nsid w:val="5D6C3411"/>
    <w:multiLevelType w:val="hybridMultilevel"/>
    <w:tmpl w:val="50AC5B56"/>
    <w:lvl w:ilvl="0" w:tplc="04260001">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33">
    <w:nsid w:val="5DCA67E0"/>
    <w:multiLevelType w:val="hybridMultilevel"/>
    <w:tmpl w:val="9404DAA8"/>
    <w:lvl w:ilvl="0" w:tplc="0409000F">
      <w:start w:val="1"/>
      <w:numFmt w:val="decimal"/>
      <w:lvlText w:val="%1."/>
      <w:lvlJc w:val="left"/>
      <w:pPr>
        <w:ind w:left="750" w:hanging="360"/>
      </w:pPr>
      <w:rPr>
        <w:rFonts w:cs="Times New Roman" w:hint="default"/>
      </w:rPr>
    </w:lvl>
    <w:lvl w:ilvl="1" w:tplc="2630698A">
      <w:start w:val="1"/>
      <w:numFmt w:val="bullet"/>
      <w:lvlText w:val=""/>
      <w:lvlJc w:val="left"/>
      <w:pPr>
        <w:ind w:left="1470" w:hanging="360"/>
      </w:pPr>
      <w:rPr>
        <w:rFonts w:ascii="Symbol" w:hAnsi="Symbol" w:hint="default"/>
      </w:rPr>
    </w:lvl>
    <w:lvl w:ilvl="2" w:tplc="04260001">
      <w:start w:val="1"/>
      <w:numFmt w:val="bullet"/>
      <w:lvlText w:val=""/>
      <w:lvlJc w:val="left"/>
      <w:pPr>
        <w:tabs>
          <w:tab w:val="num" w:pos="2190"/>
        </w:tabs>
        <w:ind w:left="2190" w:hanging="360"/>
      </w:pPr>
      <w:rPr>
        <w:rFonts w:ascii="Symbol" w:hAnsi="Symbol"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4">
    <w:nsid w:val="5E070485"/>
    <w:multiLevelType w:val="hybridMultilevel"/>
    <w:tmpl w:val="409C1388"/>
    <w:lvl w:ilvl="0" w:tplc="77848C64">
      <w:start w:val="1"/>
      <w:numFmt w:val="decimal"/>
      <w:lvlText w:val="%1)"/>
      <w:lvlJc w:val="left"/>
      <w:pPr>
        <w:ind w:left="488" w:hanging="360"/>
      </w:pPr>
      <w:rPr>
        <w:rFonts w:hint="default"/>
      </w:rPr>
    </w:lvl>
    <w:lvl w:ilvl="1" w:tplc="04260019" w:tentative="1">
      <w:start w:val="1"/>
      <w:numFmt w:val="lowerLetter"/>
      <w:lvlText w:val="%2."/>
      <w:lvlJc w:val="left"/>
      <w:pPr>
        <w:ind w:left="1208" w:hanging="360"/>
      </w:pPr>
    </w:lvl>
    <w:lvl w:ilvl="2" w:tplc="0426001B" w:tentative="1">
      <w:start w:val="1"/>
      <w:numFmt w:val="lowerRoman"/>
      <w:lvlText w:val="%3."/>
      <w:lvlJc w:val="right"/>
      <w:pPr>
        <w:ind w:left="1928" w:hanging="180"/>
      </w:pPr>
    </w:lvl>
    <w:lvl w:ilvl="3" w:tplc="0426000F" w:tentative="1">
      <w:start w:val="1"/>
      <w:numFmt w:val="decimal"/>
      <w:lvlText w:val="%4."/>
      <w:lvlJc w:val="left"/>
      <w:pPr>
        <w:ind w:left="2648" w:hanging="360"/>
      </w:pPr>
    </w:lvl>
    <w:lvl w:ilvl="4" w:tplc="04260019" w:tentative="1">
      <w:start w:val="1"/>
      <w:numFmt w:val="lowerLetter"/>
      <w:lvlText w:val="%5."/>
      <w:lvlJc w:val="left"/>
      <w:pPr>
        <w:ind w:left="3368" w:hanging="360"/>
      </w:pPr>
    </w:lvl>
    <w:lvl w:ilvl="5" w:tplc="0426001B" w:tentative="1">
      <w:start w:val="1"/>
      <w:numFmt w:val="lowerRoman"/>
      <w:lvlText w:val="%6."/>
      <w:lvlJc w:val="right"/>
      <w:pPr>
        <w:ind w:left="4088" w:hanging="180"/>
      </w:pPr>
    </w:lvl>
    <w:lvl w:ilvl="6" w:tplc="0426000F" w:tentative="1">
      <w:start w:val="1"/>
      <w:numFmt w:val="decimal"/>
      <w:lvlText w:val="%7."/>
      <w:lvlJc w:val="left"/>
      <w:pPr>
        <w:ind w:left="4808" w:hanging="360"/>
      </w:pPr>
    </w:lvl>
    <w:lvl w:ilvl="7" w:tplc="04260019" w:tentative="1">
      <w:start w:val="1"/>
      <w:numFmt w:val="lowerLetter"/>
      <w:lvlText w:val="%8."/>
      <w:lvlJc w:val="left"/>
      <w:pPr>
        <w:ind w:left="5528" w:hanging="360"/>
      </w:pPr>
    </w:lvl>
    <w:lvl w:ilvl="8" w:tplc="0426001B" w:tentative="1">
      <w:start w:val="1"/>
      <w:numFmt w:val="lowerRoman"/>
      <w:lvlText w:val="%9."/>
      <w:lvlJc w:val="right"/>
      <w:pPr>
        <w:ind w:left="6248" w:hanging="180"/>
      </w:pPr>
    </w:lvl>
  </w:abstractNum>
  <w:abstractNum w:abstractNumId="35">
    <w:nsid w:val="60293FA3"/>
    <w:multiLevelType w:val="hybridMultilevel"/>
    <w:tmpl w:val="06E03A8A"/>
    <w:lvl w:ilvl="0" w:tplc="0426001B">
      <w:start w:val="1"/>
      <w:numFmt w:val="low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nsid w:val="61CE5FD8"/>
    <w:multiLevelType w:val="hybridMultilevel"/>
    <w:tmpl w:val="3806D0C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nsid w:val="643D3873"/>
    <w:multiLevelType w:val="hybridMultilevel"/>
    <w:tmpl w:val="84D20806"/>
    <w:lvl w:ilvl="0" w:tplc="477CEC72">
      <w:numFmt w:val="bullet"/>
      <w:lvlText w:val="–"/>
      <w:lvlJc w:val="left"/>
      <w:pPr>
        <w:ind w:left="814" w:hanging="360"/>
      </w:pPr>
      <w:rPr>
        <w:rFonts w:ascii="Times New Roman" w:eastAsiaTheme="minorHAnsi" w:hAnsi="Times New Roman" w:cs="Times New Roman" w:hint="default"/>
      </w:rPr>
    </w:lvl>
    <w:lvl w:ilvl="1" w:tplc="04260003" w:tentative="1">
      <w:start w:val="1"/>
      <w:numFmt w:val="bullet"/>
      <w:lvlText w:val="o"/>
      <w:lvlJc w:val="left"/>
      <w:pPr>
        <w:ind w:left="1534" w:hanging="360"/>
      </w:pPr>
      <w:rPr>
        <w:rFonts w:ascii="Courier New" w:hAnsi="Courier New" w:cs="Courier New" w:hint="default"/>
      </w:rPr>
    </w:lvl>
    <w:lvl w:ilvl="2" w:tplc="04260005" w:tentative="1">
      <w:start w:val="1"/>
      <w:numFmt w:val="bullet"/>
      <w:lvlText w:val=""/>
      <w:lvlJc w:val="left"/>
      <w:pPr>
        <w:ind w:left="2254" w:hanging="360"/>
      </w:pPr>
      <w:rPr>
        <w:rFonts w:ascii="Wingdings" w:hAnsi="Wingdings" w:hint="default"/>
      </w:rPr>
    </w:lvl>
    <w:lvl w:ilvl="3" w:tplc="04260001" w:tentative="1">
      <w:start w:val="1"/>
      <w:numFmt w:val="bullet"/>
      <w:lvlText w:val=""/>
      <w:lvlJc w:val="left"/>
      <w:pPr>
        <w:ind w:left="2974" w:hanging="360"/>
      </w:pPr>
      <w:rPr>
        <w:rFonts w:ascii="Symbol" w:hAnsi="Symbol" w:hint="default"/>
      </w:rPr>
    </w:lvl>
    <w:lvl w:ilvl="4" w:tplc="04260003" w:tentative="1">
      <w:start w:val="1"/>
      <w:numFmt w:val="bullet"/>
      <w:lvlText w:val="o"/>
      <w:lvlJc w:val="left"/>
      <w:pPr>
        <w:ind w:left="3694" w:hanging="360"/>
      </w:pPr>
      <w:rPr>
        <w:rFonts w:ascii="Courier New" w:hAnsi="Courier New" w:cs="Courier New" w:hint="default"/>
      </w:rPr>
    </w:lvl>
    <w:lvl w:ilvl="5" w:tplc="04260005" w:tentative="1">
      <w:start w:val="1"/>
      <w:numFmt w:val="bullet"/>
      <w:lvlText w:val=""/>
      <w:lvlJc w:val="left"/>
      <w:pPr>
        <w:ind w:left="4414" w:hanging="360"/>
      </w:pPr>
      <w:rPr>
        <w:rFonts w:ascii="Wingdings" w:hAnsi="Wingdings" w:hint="default"/>
      </w:rPr>
    </w:lvl>
    <w:lvl w:ilvl="6" w:tplc="04260001" w:tentative="1">
      <w:start w:val="1"/>
      <w:numFmt w:val="bullet"/>
      <w:lvlText w:val=""/>
      <w:lvlJc w:val="left"/>
      <w:pPr>
        <w:ind w:left="5134" w:hanging="360"/>
      </w:pPr>
      <w:rPr>
        <w:rFonts w:ascii="Symbol" w:hAnsi="Symbol" w:hint="default"/>
      </w:rPr>
    </w:lvl>
    <w:lvl w:ilvl="7" w:tplc="04260003" w:tentative="1">
      <w:start w:val="1"/>
      <w:numFmt w:val="bullet"/>
      <w:lvlText w:val="o"/>
      <w:lvlJc w:val="left"/>
      <w:pPr>
        <w:ind w:left="5854" w:hanging="360"/>
      </w:pPr>
      <w:rPr>
        <w:rFonts w:ascii="Courier New" w:hAnsi="Courier New" w:cs="Courier New" w:hint="default"/>
      </w:rPr>
    </w:lvl>
    <w:lvl w:ilvl="8" w:tplc="04260005" w:tentative="1">
      <w:start w:val="1"/>
      <w:numFmt w:val="bullet"/>
      <w:lvlText w:val=""/>
      <w:lvlJc w:val="left"/>
      <w:pPr>
        <w:ind w:left="6574" w:hanging="360"/>
      </w:pPr>
      <w:rPr>
        <w:rFonts w:ascii="Wingdings" w:hAnsi="Wingdings" w:hint="default"/>
      </w:rPr>
    </w:lvl>
  </w:abstractNum>
  <w:abstractNum w:abstractNumId="38">
    <w:nsid w:val="64E200CD"/>
    <w:multiLevelType w:val="hybridMultilevel"/>
    <w:tmpl w:val="D8549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59A09C9"/>
    <w:multiLevelType w:val="hybridMultilevel"/>
    <w:tmpl w:val="29EEF9B6"/>
    <w:lvl w:ilvl="0" w:tplc="91525A12">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40">
    <w:nsid w:val="67A85314"/>
    <w:multiLevelType w:val="hybridMultilevel"/>
    <w:tmpl w:val="BE4CF76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nsid w:val="6E6F5862"/>
    <w:multiLevelType w:val="hybridMultilevel"/>
    <w:tmpl w:val="CA3C113A"/>
    <w:lvl w:ilvl="0" w:tplc="04260001">
      <w:start w:val="1"/>
      <w:numFmt w:val="bullet"/>
      <w:lvlText w:val=""/>
      <w:lvlJc w:val="left"/>
      <w:pPr>
        <w:ind w:left="1174" w:hanging="360"/>
      </w:pPr>
      <w:rPr>
        <w:rFonts w:ascii="Symbol" w:hAnsi="Symbol" w:hint="default"/>
      </w:rPr>
    </w:lvl>
    <w:lvl w:ilvl="1" w:tplc="04260003" w:tentative="1">
      <w:start w:val="1"/>
      <w:numFmt w:val="bullet"/>
      <w:lvlText w:val="o"/>
      <w:lvlJc w:val="left"/>
      <w:pPr>
        <w:ind w:left="1894" w:hanging="360"/>
      </w:pPr>
      <w:rPr>
        <w:rFonts w:ascii="Courier New" w:hAnsi="Courier New" w:cs="Courier New" w:hint="default"/>
      </w:rPr>
    </w:lvl>
    <w:lvl w:ilvl="2" w:tplc="04260005" w:tentative="1">
      <w:start w:val="1"/>
      <w:numFmt w:val="bullet"/>
      <w:lvlText w:val=""/>
      <w:lvlJc w:val="left"/>
      <w:pPr>
        <w:ind w:left="2614" w:hanging="360"/>
      </w:pPr>
      <w:rPr>
        <w:rFonts w:ascii="Wingdings" w:hAnsi="Wingdings" w:hint="default"/>
      </w:rPr>
    </w:lvl>
    <w:lvl w:ilvl="3" w:tplc="04260001" w:tentative="1">
      <w:start w:val="1"/>
      <w:numFmt w:val="bullet"/>
      <w:lvlText w:val=""/>
      <w:lvlJc w:val="left"/>
      <w:pPr>
        <w:ind w:left="3334" w:hanging="360"/>
      </w:pPr>
      <w:rPr>
        <w:rFonts w:ascii="Symbol" w:hAnsi="Symbol" w:hint="default"/>
      </w:rPr>
    </w:lvl>
    <w:lvl w:ilvl="4" w:tplc="04260003" w:tentative="1">
      <w:start w:val="1"/>
      <w:numFmt w:val="bullet"/>
      <w:lvlText w:val="o"/>
      <w:lvlJc w:val="left"/>
      <w:pPr>
        <w:ind w:left="4054" w:hanging="360"/>
      </w:pPr>
      <w:rPr>
        <w:rFonts w:ascii="Courier New" w:hAnsi="Courier New" w:cs="Courier New" w:hint="default"/>
      </w:rPr>
    </w:lvl>
    <w:lvl w:ilvl="5" w:tplc="04260005" w:tentative="1">
      <w:start w:val="1"/>
      <w:numFmt w:val="bullet"/>
      <w:lvlText w:val=""/>
      <w:lvlJc w:val="left"/>
      <w:pPr>
        <w:ind w:left="4774" w:hanging="360"/>
      </w:pPr>
      <w:rPr>
        <w:rFonts w:ascii="Wingdings" w:hAnsi="Wingdings" w:hint="default"/>
      </w:rPr>
    </w:lvl>
    <w:lvl w:ilvl="6" w:tplc="04260001" w:tentative="1">
      <w:start w:val="1"/>
      <w:numFmt w:val="bullet"/>
      <w:lvlText w:val=""/>
      <w:lvlJc w:val="left"/>
      <w:pPr>
        <w:ind w:left="5494" w:hanging="360"/>
      </w:pPr>
      <w:rPr>
        <w:rFonts w:ascii="Symbol" w:hAnsi="Symbol" w:hint="default"/>
      </w:rPr>
    </w:lvl>
    <w:lvl w:ilvl="7" w:tplc="04260003" w:tentative="1">
      <w:start w:val="1"/>
      <w:numFmt w:val="bullet"/>
      <w:lvlText w:val="o"/>
      <w:lvlJc w:val="left"/>
      <w:pPr>
        <w:ind w:left="6214" w:hanging="360"/>
      </w:pPr>
      <w:rPr>
        <w:rFonts w:ascii="Courier New" w:hAnsi="Courier New" w:cs="Courier New" w:hint="default"/>
      </w:rPr>
    </w:lvl>
    <w:lvl w:ilvl="8" w:tplc="04260005" w:tentative="1">
      <w:start w:val="1"/>
      <w:numFmt w:val="bullet"/>
      <w:lvlText w:val=""/>
      <w:lvlJc w:val="left"/>
      <w:pPr>
        <w:ind w:left="6934" w:hanging="360"/>
      </w:pPr>
      <w:rPr>
        <w:rFonts w:ascii="Wingdings" w:hAnsi="Wingdings" w:hint="default"/>
      </w:rPr>
    </w:lvl>
  </w:abstractNum>
  <w:abstractNum w:abstractNumId="42">
    <w:nsid w:val="6EF33DA7"/>
    <w:multiLevelType w:val="hybridMultilevel"/>
    <w:tmpl w:val="DED8C3A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3">
    <w:nsid w:val="70B51939"/>
    <w:multiLevelType w:val="hybridMultilevel"/>
    <w:tmpl w:val="C3BED0F8"/>
    <w:lvl w:ilvl="0" w:tplc="2630698A">
      <w:start w:val="1"/>
      <w:numFmt w:val="bullet"/>
      <w:lvlText w:val=""/>
      <w:lvlJc w:val="left"/>
      <w:pPr>
        <w:ind w:left="1174" w:hanging="360"/>
      </w:pPr>
      <w:rPr>
        <w:rFonts w:ascii="Symbol" w:hAnsi="Symbol" w:hint="default"/>
      </w:rPr>
    </w:lvl>
    <w:lvl w:ilvl="1" w:tplc="04260003" w:tentative="1">
      <w:start w:val="1"/>
      <w:numFmt w:val="bullet"/>
      <w:lvlText w:val="o"/>
      <w:lvlJc w:val="left"/>
      <w:pPr>
        <w:ind w:left="1894" w:hanging="360"/>
      </w:pPr>
      <w:rPr>
        <w:rFonts w:ascii="Courier New" w:hAnsi="Courier New" w:cs="Courier New" w:hint="default"/>
      </w:rPr>
    </w:lvl>
    <w:lvl w:ilvl="2" w:tplc="04260005" w:tentative="1">
      <w:start w:val="1"/>
      <w:numFmt w:val="bullet"/>
      <w:lvlText w:val=""/>
      <w:lvlJc w:val="left"/>
      <w:pPr>
        <w:ind w:left="2614" w:hanging="360"/>
      </w:pPr>
      <w:rPr>
        <w:rFonts w:ascii="Wingdings" w:hAnsi="Wingdings" w:hint="default"/>
      </w:rPr>
    </w:lvl>
    <w:lvl w:ilvl="3" w:tplc="04260001" w:tentative="1">
      <w:start w:val="1"/>
      <w:numFmt w:val="bullet"/>
      <w:lvlText w:val=""/>
      <w:lvlJc w:val="left"/>
      <w:pPr>
        <w:ind w:left="3334" w:hanging="360"/>
      </w:pPr>
      <w:rPr>
        <w:rFonts w:ascii="Symbol" w:hAnsi="Symbol" w:hint="default"/>
      </w:rPr>
    </w:lvl>
    <w:lvl w:ilvl="4" w:tplc="04260003" w:tentative="1">
      <w:start w:val="1"/>
      <w:numFmt w:val="bullet"/>
      <w:lvlText w:val="o"/>
      <w:lvlJc w:val="left"/>
      <w:pPr>
        <w:ind w:left="4054" w:hanging="360"/>
      </w:pPr>
      <w:rPr>
        <w:rFonts w:ascii="Courier New" w:hAnsi="Courier New" w:cs="Courier New" w:hint="default"/>
      </w:rPr>
    </w:lvl>
    <w:lvl w:ilvl="5" w:tplc="04260005" w:tentative="1">
      <w:start w:val="1"/>
      <w:numFmt w:val="bullet"/>
      <w:lvlText w:val=""/>
      <w:lvlJc w:val="left"/>
      <w:pPr>
        <w:ind w:left="4774" w:hanging="360"/>
      </w:pPr>
      <w:rPr>
        <w:rFonts w:ascii="Wingdings" w:hAnsi="Wingdings" w:hint="default"/>
      </w:rPr>
    </w:lvl>
    <w:lvl w:ilvl="6" w:tplc="04260001" w:tentative="1">
      <w:start w:val="1"/>
      <w:numFmt w:val="bullet"/>
      <w:lvlText w:val=""/>
      <w:lvlJc w:val="left"/>
      <w:pPr>
        <w:ind w:left="5494" w:hanging="360"/>
      </w:pPr>
      <w:rPr>
        <w:rFonts w:ascii="Symbol" w:hAnsi="Symbol" w:hint="default"/>
      </w:rPr>
    </w:lvl>
    <w:lvl w:ilvl="7" w:tplc="04260003" w:tentative="1">
      <w:start w:val="1"/>
      <w:numFmt w:val="bullet"/>
      <w:lvlText w:val="o"/>
      <w:lvlJc w:val="left"/>
      <w:pPr>
        <w:ind w:left="6214" w:hanging="360"/>
      </w:pPr>
      <w:rPr>
        <w:rFonts w:ascii="Courier New" w:hAnsi="Courier New" w:cs="Courier New" w:hint="default"/>
      </w:rPr>
    </w:lvl>
    <w:lvl w:ilvl="8" w:tplc="04260005" w:tentative="1">
      <w:start w:val="1"/>
      <w:numFmt w:val="bullet"/>
      <w:lvlText w:val=""/>
      <w:lvlJc w:val="left"/>
      <w:pPr>
        <w:ind w:left="6934" w:hanging="360"/>
      </w:pPr>
      <w:rPr>
        <w:rFonts w:ascii="Wingdings" w:hAnsi="Wingdings" w:hint="default"/>
      </w:rPr>
    </w:lvl>
  </w:abstractNum>
  <w:abstractNum w:abstractNumId="44">
    <w:nsid w:val="70BE68AB"/>
    <w:multiLevelType w:val="hybridMultilevel"/>
    <w:tmpl w:val="5C742E96"/>
    <w:lvl w:ilvl="0" w:tplc="2630698A">
      <w:start w:val="1"/>
      <w:numFmt w:val="bullet"/>
      <w:lvlText w:val=""/>
      <w:lvlJc w:val="left"/>
      <w:pPr>
        <w:ind w:left="1650" w:hanging="360"/>
      </w:pPr>
      <w:rPr>
        <w:rFonts w:ascii="Symbol" w:hAnsi="Symbol" w:hint="default"/>
      </w:rPr>
    </w:lvl>
    <w:lvl w:ilvl="1" w:tplc="04260003" w:tentative="1">
      <w:start w:val="1"/>
      <w:numFmt w:val="bullet"/>
      <w:lvlText w:val="o"/>
      <w:lvlJc w:val="left"/>
      <w:pPr>
        <w:ind w:left="2370" w:hanging="360"/>
      </w:pPr>
      <w:rPr>
        <w:rFonts w:ascii="Courier New" w:hAnsi="Courier New" w:cs="Courier New" w:hint="default"/>
      </w:rPr>
    </w:lvl>
    <w:lvl w:ilvl="2" w:tplc="04260005" w:tentative="1">
      <w:start w:val="1"/>
      <w:numFmt w:val="bullet"/>
      <w:lvlText w:val=""/>
      <w:lvlJc w:val="left"/>
      <w:pPr>
        <w:ind w:left="3090" w:hanging="360"/>
      </w:pPr>
      <w:rPr>
        <w:rFonts w:ascii="Wingdings" w:hAnsi="Wingdings" w:hint="default"/>
      </w:rPr>
    </w:lvl>
    <w:lvl w:ilvl="3" w:tplc="04260001" w:tentative="1">
      <w:start w:val="1"/>
      <w:numFmt w:val="bullet"/>
      <w:lvlText w:val=""/>
      <w:lvlJc w:val="left"/>
      <w:pPr>
        <w:ind w:left="3810" w:hanging="360"/>
      </w:pPr>
      <w:rPr>
        <w:rFonts w:ascii="Symbol" w:hAnsi="Symbol" w:hint="default"/>
      </w:rPr>
    </w:lvl>
    <w:lvl w:ilvl="4" w:tplc="04260003" w:tentative="1">
      <w:start w:val="1"/>
      <w:numFmt w:val="bullet"/>
      <w:lvlText w:val="o"/>
      <w:lvlJc w:val="left"/>
      <w:pPr>
        <w:ind w:left="4530" w:hanging="360"/>
      </w:pPr>
      <w:rPr>
        <w:rFonts w:ascii="Courier New" w:hAnsi="Courier New" w:cs="Courier New" w:hint="default"/>
      </w:rPr>
    </w:lvl>
    <w:lvl w:ilvl="5" w:tplc="04260005" w:tentative="1">
      <w:start w:val="1"/>
      <w:numFmt w:val="bullet"/>
      <w:lvlText w:val=""/>
      <w:lvlJc w:val="left"/>
      <w:pPr>
        <w:ind w:left="5250" w:hanging="360"/>
      </w:pPr>
      <w:rPr>
        <w:rFonts w:ascii="Wingdings" w:hAnsi="Wingdings" w:hint="default"/>
      </w:rPr>
    </w:lvl>
    <w:lvl w:ilvl="6" w:tplc="04260001" w:tentative="1">
      <w:start w:val="1"/>
      <w:numFmt w:val="bullet"/>
      <w:lvlText w:val=""/>
      <w:lvlJc w:val="left"/>
      <w:pPr>
        <w:ind w:left="5970" w:hanging="360"/>
      </w:pPr>
      <w:rPr>
        <w:rFonts w:ascii="Symbol" w:hAnsi="Symbol" w:hint="default"/>
      </w:rPr>
    </w:lvl>
    <w:lvl w:ilvl="7" w:tplc="04260003" w:tentative="1">
      <w:start w:val="1"/>
      <w:numFmt w:val="bullet"/>
      <w:lvlText w:val="o"/>
      <w:lvlJc w:val="left"/>
      <w:pPr>
        <w:ind w:left="6690" w:hanging="360"/>
      </w:pPr>
      <w:rPr>
        <w:rFonts w:ascii="Courier New" w:hAnsi="Courier New" w:cs="Courier New" w:hint="default"/>
      </w:rPr>
    </w:lvl>
    <w:lvl w:ilvl="8" w:tplc="04260005" w:tentative="1">
      <w:start w:val="1"/>
      <w:numFmt w:val="bullet"/>
      <w:lvlText w:val=""/>
      <w:lvlJc w:val="left"/>
      <w:pPr>
        <w:ind w:left="7410" w:hanging="360"/>
      </w:pPr>
      <w:rPr>
        <w:rFonts w:ascii="Wingdings" w:hAnsi="Wingdings" w:hint="default"/>
      </w:rPr>
    </w:lvl>
  </w:abstractNum>
  <w:abstractNum w:abstractNumId="45">
    <w:nsid w:val="725205EF"/>
    <w:multiLevelType w:val="hybridMultilevel"/>
    <w:tmpl w:val="C27CBB34"/>
    <w:lvl w:ilvl="0" w:tplc="0409000F">
      <w:start w:val="1"/>
      <w:numFmt w:val="decimal"/>
      <w:lvlText w:val="%1."/>
      <w:lvlJc w:val="left"/>
      <w:pPr>
        <w:ind w:left="750" w:hanging="360"/>
      </w:pPr>
      <w:rPr>
        <w:rFonts w:cs="Times New Roman" w:hint="default"/>
      </w:rPr>
    </w:lvl>
    <w:lvl w:ilvl="1" w:tplc="04260001">
      <w:start w:val="1"/>
      <w:numFmt w:val="bullet"/>
      <w:lvlText w:val=""/>
      <w:lvlJc w:val="left"/>
      <w:pPr>
        <w:ind w:left="1470" w:hanging="360"/>
      </w:pPr>
      <w:rPr>
        <w:rFonts w:ascii="Symbol" w:hAnsi="Symbol" w:hint="default"/>
      </w:rPr>
    </w:lvl>
    <w:lvl w:ilvl="2" w:tplc="04260001">
      <w:start w:val="1"/>
      <w:numFmt w:val="bullet"/>
      <w:lvlText w:val=""/>
      <w:lvlJc w:val="left"/>
      <w:pPr>
        <w:tabs>
          <w:tab w:val="num" w:pos="2190"/>
        </w:tabs>
        <w:ind w:left="2190" w:hanging="360"/>
      </w:pPr>
      <w:rPr>
        <w:rFonts w:ascii="Symbol" w:hAnsi="Symbol"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46">
    <w:nsid w:val="72D35BC3"/>
    <w:multiLevelType w:val="hybridMultilevel"/>
    <w:tmpl w:val="FE0CCBE4"/>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7">
    <w:nsid w:val="74937FF0"/>
    <w:multiLevelType w:val="hybridMultilevel"/>
    <w:tmpl w:val="035C374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nsid w:val="765F6F70"/>
    <w:multiLevelType w:val="hybridMultilevel"/>
    <w:tmpl w:val="BEC2BCE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9">
    <w:nsid w:val="7E0A2473"/>
    <w:multiLevelType w:val="hybridMultilevel"/>
    <w:tmpl w:val="1B946A5E"/>
    <w:lvl w:ilvl="0" w:tplc="0426000F">
      <w:start w:val="1"/>
      <w:numFmt w:val="decimal"/>
      <w:lvlText w:val="%1."/>
      <w:lvlJc w:val="left"/>
      <w:pPr>
        <w:ind w:left="1077" w:hanging="360"/>
      </w:pPr>
      <w:rPr>
        <w:rFonts w:cs="Times New Roman"/>
      </w:rPr>
    </w:lvl>
    <w:lvl w:ilvl="1" w:tplc="04260019" w:tentative="1">
      <w:start w:val="1"/>
      <w:numFmt w:val="lowerLetter"/>
      <w:lvlText w:val="%2."/>
      <w:lvlJc w:val="left"/>
      <w:pPr>
        <w:ind w:left="1797" w:hanging="360"/>
      </w:pPr>
      <w:rPr>
        <w:rFonts w:cs="Times New Roman"/>
      </w:rPr>
    </w:lvl>
    <w:lvl w:ilvl="2" w:tplc="0426001B" w:tentative="1">
      <w:start w:val="1"/>
      <w:numFmt w:val="lowerRoman"/>
      <w:lvlText w:val="%3."/>
      <w:lvlJc w:val="right"/>
      <w:pPr>
        <w:ind w:left="2517" w:hanging="180"/>
      </w:pPr>
      <w:rPr>
        <w:rFonts w:cs="Times New Roman"/>
      </w:rPr>
    </w:lvl>
    <w:lvl w:ilvl="3" w:tplc="0426000F" w:tentative="1">
      <w:start w:val="1"/>
      <w:numFmt w:val="decimal"/>
      <w:lvlText w:val="%4."/>
      <w:lvlJc w:val="left"/>
      <w:pPr>
        <w:ind w:left="3237" w:hanging="360"/>
      </w:pPr>
      <w:rPr>
        <w:rFonts w:cs="Times New Roman"/>
      </w:rPr>
    </w:lvl>
    <w:lvl w:ilvl="4" w:tplc="04260019" w:tentative="1">
      <w:start w:val="1"/>
      <w:numFmt w:val="lowerLetter"/>
      <w:lvlText w:val="%5."/>
      <w:lvlJc w:val="left"/>
      <w:pPr>
        <w:ind w:left="3957" w:hanging="360"/>
      </w:pPr>
      <w:rPr>
        <w:rFonts w:cs="Times New Roman"/>
      </w:rPr>
    </w:lvl>
    <w:lvl w:ilvl="5" w:tplc="0426001B" w:tentative="1">
      <w:start w:val="1"/>
      <w:numFmt w:val="lowerRoman"/>
      <w:lvlText w:val="%6."/>
      <w:lvlJc w:val="right"/>
      <w:pPr>
        <w:ind w:left="4677" w:hanging="180"/>
      </w:pPr>
      <w:rPr>
        <w:rFonts w:cs="Times New Roman"/>
      </w:rPr>
    </w:lvl>
    <w:lvl w:ilvl="6" w:tplc="0426000F" w:tentative="1">
      <w:start w:val="1"/>
      <w:numFmt w:val="decimal"/>
      <w:lvlText w:val="%7."/>
      <w:lvlJc w:val="left"/>
      <w:pPr>
        <w:ind w:left="5397" w:hanging="360"/>
      </w:pPr>
      <w:rPr>
        <w:rFonts w:cs="Times New Roman"/>
      </w:rPr>
    </w:lvl>
    <w:lvl w:ilvl="7" w:tplc="04260019" w:tentative="1">
      <w:start w:val="1"/>
      <w:numFmt w:val="lowerLetter"/>
      <w:lvlText w:val="%8."/>
      <w:lvlJc w:val="left"/>
      <w:pPr>
        <w:ind w:left="6117" w:hanging="360"/>
      </w:pPr>
      <w:rPr>
        <w:rFonts w:cs="Times New Roman"/>
      </w:rPr>
    </w:lvl>
    <w:lvl w:ilvl="8" w:tplc="0426001B" w:tentative="1">
      <w:start w:val="1"/>
      <w:numFmt w:val="lowerRoman"/>
      <w:lvlText w:val="%9."/>
      <w:lvlJc w:val="right"/>
      <w:pPr>
        <w:ind w:left="6837" w:hanging="180"/>
      </w:pPr>
      <w:rPr>
        <w:rFonts w:cs="Times New Roman"/>
      </w:rPr>
    </w:lvl>
  </w:abstractNum>
  <w:num w:numId="1">
    <w:abstractNumId w:val="4"/>
  </w:num>
  <w:num w:numId="2">
    <w:abstractNumId w:val="11"/>
  </w:num>
  <w:num w:numId="3">
    <w:abstractNumId w:val="29"/>
  </w:num>
  <w:num w:numId="4">
    <w:abstractNumId w:val="42"/>
  </w:num>
  <w:num w:numId="5">
    <w:abstractNumId w:val="20"/>
  </w:num>
  <w:num w:numId="6">
    <w:abstractNumId w:val="30"/>
  </w:num>
  <w:num w:numId="7">
    <w:abstractNumId w:val="38"/>
  </w:num>
  <w:num w:numId="8">
    <w:abstractNumId w:val="12"/>
  </w:num>
  <w:num w:numId="9">
    <w:abstractNumId w:val="5"/>
  </w:num>
  <w:num w:numId="10">
    <w:abstractNumId w:val="13"/>
  </w:num>
  <w:num w:numId="11">
    <w:abstractNumId w:val="16"/>
  </w:num>
  <w:num w:numId="12">
    <w:abstractNumId w:val="39"/>
  </w:num>
  <w:num w:numId="13">
    <w:abstractNumId w:val="31"/>
  </w:num>
  <w:num w:numId="14">
    <w:abstractNumId w:val="47"/>
  </w:num>
  <w:num w:numId="15">
    <w:abstractNumId w:val="8"/>
  </w:num>
  <w:num w:numId="16">
    <w:abstractNumId w:val="10"/>
  </w:num>
  <w:num w:numId="17">
    <w:abstractNumId w:val="45"/>
  </w:num>
  <w:num w:numId="18">
    <w:abstractNumId w:val="17"/>
  </w:num>
  <w:num w:numId="19">
    <w:abstractNumId w:val="49"/>
  </w:num>
  <w:num w:numId="20">
    <w:abstractNumId w:val="34"/>
  </w:num>
  <w:num w:numId="21">
    <w:abstractNumId w:val="35"/>
  </w:num>
  <w:num w:numId="22">
    <w:abstractNumId w:val="26"/>
  </w:num>
  <w:num w:numId="23">
    <w:abstractNumId w:val="32"/>
  </w:num>
  <w:num w:numId="24">
    <w:abstractNumId w:val="18"/>
  </w:num>
  <w:num w:numId="25">
    <w:abstractNumId w:val="28"/>
  </w:num>
  <w:num w:numId="26">
    <w:abstractNumId w:val="21"/>
  </w:num>
  <w:num w:numId="27">
    <w:abstractNumId w:val="9"/>
  </w:num>
  <w:num w:numId="28">
    <w:abstractNumId w:val="41"/>
  </w:num>
  <w:num w:numId="29">
    <w:abstractNumId w:val="1"/>
  </w:num>
  <w:num w:numId="30">
    <w:abstractNumId w:val="23"/>
  </w:num>
  <w:num w:numId="31">
    <w:abstractNumId w:val="0"/>
  </w:num>
  <w:num w:numId="32">
    <w:abstractNumId w:val="2"/>
  </w:num>
  <w:num w:numId="33">
    <w:abstractNumId w:val="37"/>
  </w:num>
  <w:num w:numId="34">
    <w:abstractNumId w:val="27"/>
  </w:num>
  <w:num w:numId="35">
    <w:abstractNumId w:val="6"/>
  </w:num>
  <w:num w:numId="36">
    <w:abstractNumId w:val="14"/>
  </w:num>
  <w:num w:numId="37">
    <w:abstractNumId w:val="15"/>
  </w:num>
  <w:num w:numId="38">
    <w:abstractNumId w:val="3"/>
  </w:num>
  <w:num w:numId="39">
    <w:abstractNumId w:val="43"/>
  </w:num>
  <w:num w:numId="40">
    <w:abstractNumId w:val="33"/>
  </w:num>
  <w:num w:numId="41">
    <w:abstractNumId w:val="22"/>
  </w:num>
  <w:num w:numId="42">
    <w:abstractNumId w:val="44"/>
  </w:num>
  <w:num w:numId="43">
    <w:abstractNumId w:val="7"/>
  </w:num>
  <w:num w:numId="44">
    <w:abstractNumId w:val="25"/>
  </w:num>
  <w:num w:numId="45">
    <w:abstractNumId w:val="24"/>
  </w:num>
  <w:num w:numId="46">
    <w:abstractNumId w:val="48"/>
  </w:num>
  <w:num w:numId="47">
    <w:abstractNumId w:val="40"/>
  </w:num>
  <w:num w:numId="48">
    <w:abstractNumId w:val="36"/>
  </w:num>
  <w:num w:numId="49">
    <w:abstractNumId w:val="46"/>
  </w:num>
  <w:num w:numId="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17D"/>
    <w:rsid w:val="000061B1"/>
    <w:rsid w:val="000071CC"/>
    <w:rsid w:val="0001291F"/>
    <w:rsid w:val="00022DA6"/>
    <w:rsid w:val="00026781"/>
    <w:rsid w:val="0003361D"/>
    <w:rsid w:val="00034223"/>
    <w:rsid w:val="0003522F"/>
    <w:rsid w:val="00043D6A"/>
    <w:rsid w:val="00046717"/>
    <w:rsid w:val="00050458"/>
    <w:rsid w:val="00050CF7"/>
    <w:rsid w:val="0005614D"/>
    <w:rsid w:val="00056550"/>
    <w:rsid w:val="0006035D"/>
    <w:rsid w:val="000625C0"/>
    <w:rsid w:val="000664E1"/>
    <w:rsid w:val="000665FC"/>
    <w:rsid w:val="000672F4"/>
    <w:rsid w:val="00067317"/>
    <w:rsid w:val="0007117B"/>
    <w:rsid w:val="000714A9"/>
    <w:rsid w:val="00073E55"/>
    <w:rsid w:val="00085A1C"/>
    <w:rsid w:val="00097E18"/>
    <w:rsid w:val="000A566D"/>
    <w:rsid w:val="000A5A83"/>
    <w:rsid w:val="000A6B1C"/>
    <w:rsid w:val="000B4C2F"/>
    <w:rsid w:val="000B6EB5"/>
    <w:rsid w:val="000C0E62"/>
    <w:rsid w:val="000C2681"/>
    <w:rsid w:val="000C2BE1"/>
    <w:rsid w:val="000C39E5"/>
    <w:rsid w:val="000C7271"/>
    <w:rsid w:val="000C7E49"/>
    <w:rsid w:val="000D084C"/>
    <w:rsid w:val="000E0BF7"/>
    <w:rsid w:val="000F16ED"/>
    <w:rsid w:val="000F3AA6"/>
    <w:rsid w:val="000F3F3F"/>
    <w:rsid w:val="000F5CC1"/>
    <w:rsid w:val="00103435"/>
    <w:rsid w:val="001044E8"/>
    <w:rsid w:val="0011325E"/>
    <w:rsid w:val="001148D6"/>
    <w:rsid w:val="001211FE"/>
    <w:rsid w:val="00122CF6"/>
    <w:rsid w:val="00122EE9"/>
    <w:rsid w:val="001250A8"/>
    <w:rsid w:val="0013098B"/>
    <w:rsid w:val="00131779"/>
    <w:rsid w:val="00134C28"/>
    <w:rsid w:val="00141BD0"/>
    <w:rsid w:val="001437B4"/>
    <w:rsid w:val="00146B18"/>
    <w:rsid w:val="00151010"/>
    <w:rsid w:val="00157103"/>
    <w:rsid w:val="00161EAB"/>
    <w:rsid w:val="001634C8"/>
    <w:rsid w:val="00164EBB"/>
    <w:rsid w:val="00166A11"/>
    <w:rsid w:val="00166C3E"/>
    <w:rsid w:val="0017292E"/>
    <w:rsid w:val="00174D36"/>
    <w:rsid w:val="00177121"/>
    <w:rsid w:val="0017713A"/>
    <w:rsid w:val="00177665"/>
    <w:rsid w:val="00183B83"/>
    <w:rsid w:val="00183F3C"/>
    <w:rsid w:val="00184C22"/>
    <w:rsid w:val="00185FC1"/>
    <w:rsid w:val="001906F7"/>
    <w:rsid w:val="00193036"/>
    <w:rsid w:val="001A02EE"/>
    <w:rsid w:val="001A0C35"/>
    <w:rsid w:val="001A1FC0"/>
    <w:rsid w:val="001A30D1"/>
    <w:rsid w:val="001B02C1"/>
    <w:rsid w:val="001B093B"/>
    <w:rsid w:val="001B2A58"/>
    <w:rsid w:val="001B2F2B"/>
    <w:rsid w:val="001B302C"/>
    <w:rsid w:val="001B5253"/>
    <w:rsid w:val="001B76A4"/>
    <w:rsid w:val="001B7EA8"/>
    <w:rsid w:val="001C1D2E"/>
    <w:rsid w:val="001C3602"/>
    <w:rsid w:val="001C749A"/>
    <w:rsid w:val="001D6337"/>
    <w:rsid w:val="001D6C78"/>
    <w:rsid w:val="001E001A"/>
    <w:rsid w:val="001E51CF"/>
    <w:rsid w:val="001E689D"/>
    <w:rsid w:val="001E7398"/>
    <w:rsid w:val="001F29BF"/>
    <w:rsid w:val="001F3433"/>
    <w:rsid w:val="001F5026"/>
    <w:rsid w:val="001F5EC1"/>
    <w:rsid w:val="00207E02"/>
    <w:rsid w:val="00223F5E"/>
    <w:rsid w:val="0023014E"/>
    <w:rsid w:val="00233605"/>
    <w:rsid w:val="00235B01"/>
    <w:rsid w:val="00240197"/>
    <w:rsid w:val="00253EA4"/>
    <w:rsid w:val="002563B8"/>
    <w:rsid w:val="002569BA"/>
    <w:rsid w:val="002617B3"/>
    <w:rsid w:val="00263EE4"/>
    <w:rsid w:val="00264D5D"/>
    <w:rsid w:val="002669D4"/>
    <w:rsid w:val="00266AC4"/>
    <w:rsid w:val="00267421"/>
    <w:rsid w:val="00273BD8"/>
    <w:rsid w:val="00275C7E"/>
    <w:rsid w:val="00276A12"/>
    <w:rsid w:val="00282FF2"/>
    <w:rsid w:val="00283045"/>
    <w:rsid w:val="0028461D"/>
    <w:rsid w:val="002876D9"/>
    <w:rsid w:val="00287703"/>
    <w:rsid w:val="00287BE5"/>
    <w:rsid w:val="00290C9C"/>
    <w:rsid w:val="0029125B"/>
    <w:rsid w:val="00292B76"/>
    <w:rsid w:val="00294588"/>
    <w:rsid w:val="00295B17"/>
    <w:rsid w:val="002A5BEA"/>
    <w:rsid w:val="002A65A2"/>
    <w:rsid w:val="002B382F"/>
    <w:rsid w:val="002B4257"/>
    <w:rsid w:val="002B75CD"/>
    <w:rsid w:val="002C06E3"/>
    <w:rsid w:val="002C7A5C"/>
    <w:rsid w:val="002D0249"/>
    <w:rsid w:val="002D4F3A"/>
    <w:rsid w:val="002E14DB"/>
    <w:rsid w:val="002E5BC3"/>
    <w:rsid w:val="002F3089"/>
    <w:rsid w:val="002F30CD"/>
    <w:rsid w:val="00303538"/>
    <w:rsid w:val="00305BAE"/>
    <w:rsid w:val="003131C6"/>
    <w:rsid w:val="00314934"/>
    <w:rsid w:val="00315274"/>
    <w:rsid w:val="0031568E"/>
    <w:rsid w:val="00315873"/>
    <w:rsid w:val="00315A11"/>
    <w:rsid w:val="0032034B"/>
    <w:rsid w:val="00323CB7"/>
    <w:rsid w:val="00324622"/>
    <w:rsid w:val="00325F1B"/>
    <w:rsid w:val="003273CA"/>
    <w:rsid w:val="00330B6F"/>
    <w:rsid w:val="00332995"/>
    <w:rsid w:val="003432AF"/>
    <w:rsid w:val="0034415A"/>
    <w:rsid w:val="00346E7F"/>
    <w:rsid w:val="00351139"/>
    <w:rsid w:val="0035311F"/>
    <w:rsid w:val="0035536C"/>
    <w:rsid w:val="00362C70"/>
    <w:rsid w:val="00362F0C"/>
    <w:rsid w:val="00372B5F"/>
    <w:rsid w:val="00374C8A"/>
    <w:rsid w:val="00377D50"/>
    <w:rsid w:val="00385062"/>
    <w:rsid w:val="0039354F"/>
    <w:rsid w:val="003A3281"/>
    <w:rsid w:val="003A3923"/>
    <w:rsid w:val="003B0135"/>
    <w:rsid w:val="003B0F2F"/>
    <w:rsid w:val="003B236F"/>
    <w:rsid w:val="003B3DD3"/>
    <w:rsid w:val="003B5AB9"/>
    <w:rsid w:val="003C0EE3"/>
    <w:rsid w:val="003C1215"/>
    <w:rsid w:val="003C33FE"/>
    <w:rsid w:val="003C4E3E"/>
    <w:rsid w:val="003C682C"/>
    <w:rsid w:val="003C7A03"/>
    <w:rsid w:val="003D1000"/>
    <w:rsid w:val="003D2B3E"/>
    <w:rsid w:val="003E09D4"/>
    <w:rsid w:val="003E6282"/>
    <w:rsid w:val="003F0533"/>
    <w:rsid w:val="003F21F8"/>
    <w:rsid w:val="003F3FC2"/>
    <w:rsid w:val="00403F45"/>
    <w:rsid w:val="00406EF2"/>
    <w:rsid w:val="00411E44"/>
    <w:rsid w:val="00413118"/>
    <w:rsid w:val="0041754A"/>
    <w:rsid w:val="00434548"/>
    <w:rsid w:val="00434FA9"/>
    <w:rsid w:val="00435A00"/>
    <w:rsid w:val="00437BBF"/>
    <w:rsid w:val="00441D9D"/>
    <w:rsid w:val="0044437F"/>
    <w:rsid w:val="004468AA"/>
    <w:rsid w:val="0045018D"/>
    <w:rsid w:val="004511F7"/>
    <w:rsid w:val="00451D4A"/>
    <w:rsid w:val="00452568"/>
    <w:rsid w:val="0045309D"/>
    <w:rsid w:val="00454728"/>
    <w:rsid w:val="00460751"/>
    <w:rsid w:val="00461342"/>
    <w:rsid w:val="004632FD"/>
    <w:rsid w:val="0046586E"/>
    <w:rsid w:val="00466028"/>
    <w:rsid w:val="00475964"/>
    <w:rsid w:val="00480A5C"/>
    <w:rsid w:val="00482F24"/>
    <w:rsid w:val="0048366B"/>
    <w:rsid w:val="00484B33"/>
    <w:rsid w:val="004852DC"/>
    <w:rsid w:val="00485DC7"/>
    <w:rsid w:val="00487E77"/>
    <w:rsid w:val="00490405"/>
    <w:rsid w:val="00491DCF"/>
    <w:rsid w:val="004922F6"/>
    <w:rsid w:val="00494395"/>
    <w:rsid w:val="0049483A"/>
    <w:rsid w:val="00494BE2"/>
    <w:rsid w:val="00495C2A"/>
    <w:rsid w:val="00496EC0"/>
    <w:rsid w:val="004A3630"/>
    <w:rsid w:val="004A517D"/>
    <w:rsid w:val="004A5DF0"/>
    <w:rsid w:val="004A6C30"/>
    <w:rsid w:val="004A7243"/>
    <w:rsid w:val="004B0873"/>
    <w:rsid w:val="004B415C"/>
    <w:rsid w:val="004B57AD"/>
    <w:rsid w:val="004C3972"/>
    <w:rsid w:val="004C5E8E"/>
    <w:rsid w:val="004C6529"/>
    <w:rsid w:val="004D2C46"/>
    <w:rsid w:val="004D3DED"/>
    <w:rsid w:val="004D4EBC"/>
    <w:rsid w:val="004E5A5B"/>
    <w:rsid w:val="004E6838"/>
    <w:rsid w:val="004F030D"/>
    <w:rsid w:val="004F2E0B"/>
    <w:rsid w:val="005052A2"/>
    <w:rsid w:val="00505E15"/>
    <w:rsid w:val="0050709A"/>
    <w:rsid w:val="005101E8"/>
    <w:rsid w:val="00510286"/>
    <w:rsid w:val="0051111C"/>
    <w:rsid w:val="00513201"/>
    <w:rsid w:val="00513847"/>
    <w:rsid w:val="005166D9"/>
    <w:rsid w:val="005176A8"/>
    <w:rsid w:val="0052044E"/>
    <w:rsid w:val="00520910"/>
    <w:rsid w:val="005252C8"/>
    <w:rsid w:val="00525DC3"/>
    <w:rsid w:val="00531838"/>
    <w:rsid w:val="005373DC"/>
    <w:rsid w:val="00541F6D"/>
    <w:rsid w:val="005509A8"/>
    <w:rsid w:val="0055185C"/>
    <w:rsid w:val="00554B15"/>
    <w:rsid w:val="00557AC4"/>
    <w:rsid w:val="005617CE"/>
    <w:rsid w:val="00561F03"/>
    <w:rsid w:val="005627CE"/>
    <w:rsid w:val="00562A00"/>
    <w:rsid w:val="00564985"/>
    <w:rsid w:val="00577102"/>
    <w:rsid w:val="0057772F"/>
    <w:rsid w:val="00581B1D"/>
    <w:rsid w:val="00582D78"/>
    <w:rsid w:val="0058335A"/>
    <w:rsid w:val="00586474"/>
    <w:rsid w:val="00595E50"/>
    <w:rsid w:val="005A1563"/>
    <w:rsid w:val="005A5808"/>
    <w:rsid w:val="005B0D43"/>
    <w:rsid w:val="005B2CD0"/>
    <w:rsid w:val="005B3F43"/>
    <w:rsid w:val="005B6B08"/>
    <w:rsid w:val="005C3215"/>
    <w:rsid w:val="005C4CFB"/>
    <w:rsid w:val="005C5818"/>
    <w:rsid w:val="005D0F35"/>
    <w:rsid w:val="005D114A"/>
    <w:rsid w:val="005D4066"/>
    <w:rsid w:val="005D43FA"/>
    <w:rsid w:val="005E3661"/>
    <w:rsid w:val="005F6EB4"/>
    <w:rsid w:val="00600F47"/>
    <w:rsid w:val="006060CE"/>
    <w:rsid w:val="00615040"/>
    <w:rsid w:val="006239C1"/>
    <w:rsid w:val="00631927"/>
    <w:rsid w:val="006353BC"/>
    <w:rsid w:val="0064114C"/>
    <w:rsid w:val="00643799"/>
    <w:rsid w:val="00643AB3"/>
    <w:rsid w:val="00644C2A"/>
    <w:rsid w:val="006503C0"/>
    <w:rsid w:val="006504D1"/>
    <w:rsid w:val="006505C1"/>
    <w:rsid w:val="006572E7"/>
    <w:rsid w:val="00663D0D"/>
    <w:rsid w:val="0067281D"/>
    <w:rsid w:val="006806E9"/>
    <w:rsid w:val="0068188D"/>
    <w:rsid w:val="006944F1"/>
    <w:rsid w:val="006A1AFE"/>
    <w:rsid w:val="006A23C1"/>
    <w:rsid w:val="006A2A7B"/>
    <w:rsid w:val="006A5DC0"/>
    <w:rsid w:val="006B28D3"/>
    <w:rsid w:val="006B367A"/>
    <w:rsid w:val="006B5011"/>
    <w:rsid w:val="006C3F97"/>
    <w:rsid w:val="006E441F"/>
    <w:rsid w:val="006E4C22"/>
    <w:rsid w:val="006F5710"/>
    <w:rsid w:val="007003FB"/>
    <w:rsid w:val="007006C7"/>
    <w:rsid w:val="00710FA8"/>
    <w:rsid w:val="0071131A"/>
    <w:rsid w:val="00714626"/>
    <w:rsid w:val="007176A5"/>
    <w:rsid w:val="00722CE6"/>
    <w:rsid w:val="00723398"/>
    <w:rsid w:val="00731A76"/>
    <w:rsid w:val="007337FE"/>
    <w:rsid w:val="0073764F"/>
    <w:rsid w:val="00740017"/>
    <w:rsid w:val="007419F9"/>
    <w:rsid w:val="00745060"/>
    <w:rsid w:val="00745287"/>
    <w:rsid w:val="00745D9D"/>
    <w:rsid w:val="00746C8D"/>
    <w:rsid w:val="00751236"/>
    <w:rsid w:val="007514EC"/>
    <w:rsid w:val="0075293A"/>
    <w:rsid w:val="007604D4"/>
    <w:rsid w:val="00764992"/>
    <w:rsid w:val="00765075"/>
    <w:rsid w:val="007652CA"/>
    <w:rsid w:val="007714A1"/>
    <w:rsid w:val="00772474"/>
    <w:rsid w:val="007751B7"/>
    <w:rsid w:val="0077645D"/>
    <w:rsid w:val="00777971"/>
    <w:rsid w:val="00786F9B"/>
    <w:rsid w:val="00791640"/>
    <w:rsid w:val="00791BE8"/>
    <w:rsid w:val="00794663"/>
    <w:rsid w:val="007A01DB"/>
    <w:rsid w:val="007A4158"/>
    <w:rsid w:val="007A5384"/>
    <w:rsid w:val="007A6892"/>
    <w:rsid w:val="007B3650"/>
    <w:rsid w:val="007B5E91"/>
    <w:rsid w:val="007C0A60"/>
    <w:rsid w:val="007E0544"/>
    <w:rsid w:val="007E2644"/>
    <w:rsid w:val="007E5DD7"/>
    <w:rsid w:val="007E7C6D"/>
    <w:rsid w:val="007F492D"/>
    <w:rsid w:val="007F4EE1"/>
    <w:rsid w:val="007F7144"/>
    <w:rsid w:val="008047D5"/>
    <w:rsid w:val="00805FA2"/>
    <w:rsid w:val="00807192"/>
    <w:rsid w:val="008125D4"/>
    <w:rsid w:val="00812CD8"/>
    <w:rsid w:val="0081576D"/>
    <w:rsid w:val="008200F7"/>
    <w:rsid w:val="00821919"/>
    <w:rsid w:val="0082557E"/>
    <w:rsid w:val="00831E5B"/>
    <w:rsid w:val="00831F5E"/>
    <w:rsid w:val="00845859"/>
    <w:rsid w:val="00850CEC"/>
    <w:rsid w:val="00851831"/>
    <w:rsid w:val="00851916"/>
    <w:rsid w:val="00855DB6"/>
    <w:rsid w:val="00856EE3"/>
    <w:rsid w:val="00860FA4"/>
    <w:rsid w:val="00872A38"/>
    <w:rsid w:val="008768DD"/>
    <w:rsid w:val="008772DD"/>
    <w:rsid w:val="008812C8"/>
    <w:rsid w:val="00891A62"/>
    <w:rsid w:val="00897F93"/>
    <w:rsid w:val="008A1A77"/>
    <w:rsid w:val="008A3FD0"/>
    <w:rsid w:val="008C1AFD"/>
    <w:rsid w:val="008C4CA4"/>
    <w:rsid w:val="008D1B3C"/>
    <w:rsid w:val="008D4192"/>
    <w:rsid w:val="008D581A"/>
    <w:rsid w:val="008E2CAB"/>
    <w:rsid w:val="008E423D"/>
    <w:rsid w:val="008E6DEF"/>
    <w:rsid w:val="00900E01"/>
    <w:rsid w:val="00902938"/>
    <w:rsid w:val="00902BD3"/>
    <w:rsid w:val="00902DA3"/>
    <w:rsid w:val="009078C2"/>
    <w:rsid w:val="009117F9"/>
    <w:rsid w:val="00911840"/>
    <w:rsid w:val="00911DB3"/>
    <w:rsid w:val="0091402C"/>
    <w:rsid w:val="009245CF"/>
    <w:rsid w:val="00931AD0"/>
    <w:rsid w:val="00931E20"/>
    <w:rsid w:val="00935819"/>
    <w:rsid w:val="00940B93"/>
    <w:rsid w:val="009466CF"/>
    <w:rsid w:val="00951C2F"/>
    <w:rsid w:val="00951C72"/>
    <w:rsid w:val="00955533"/>
    <w:rsid w:val="0095680F"/>
    <w:rsid w:val="00961A44"/>
    <w:rsid w:val="00963270"/>
    <w:rsid w:val="00971920"/>
    <w:rsid w:val="009725BC"/>
    <w:rsid w:val="00974202"/>
    <w:rsid w:val="00980640"/>
    <w:rsid w:val="00983020"/>
    <w:rsid w:val="00986BCE"/>
    <w:rsid w:val="00990E0F"/>
    <w:rsid w:val="009916F2"/>
    <w:rsid w:val="00995205"/>
    <w:rsid w:val="00995928"/>
    <w:rsid w:val="009A0CCD"/>
    <w:rsid w:val="009A498D"/>
    <w:rsid w:val="009A74D8"/>
    <w:rsid w:val="009B504E"/>
    <w:rsid w:val="009C113F"/>
    <w:rsid w:val="009C24C8"/>
    <w:rsid w:val="009C5D89"/>
    <w:rsid w:val="009C7E9C"/>
    <w:rsid w:val="009D01FB"/>
    <w:rsid w:val="009D0455"/>
    <w:rsid w:val="009D09CD"/>
    <w:rsid w:val="009D7D79"/>
    <w:rsid w:val="009E2DE1"/>
    <w:rsid w:val="009F164F"/>
    <w:rsid w:val="009F4364"/>
    <w:rsid w:val="009F583F"/>
    <w:rsid w:val="00A07087"/>
    <w:rsid w:val="00A078B6"/>
    <w:rsid w:val="00A2377E"/>
    <w:rsid w:val="00A23D77"/>
    <w:rsid w:val="00A32553"/>
    <w:rsid w:val="00A33613"/>
    <w:rsid w:val="00A414D6"/>
    <w:rsid w:val="00A41997"/>
    <w:rsid w:val="00A478B3"/>
    <w:rsid w:val="00A500C6"/>
    <w:rsid w:val="00A51FF7"/>
    <w:rsid w:val="00A52866"/>
    <w:rsid w:val="00A53C7A"/>
    <w:rsid w:val="00A5781B"/>
    <w:rsid w:val="00A6184A"/>
    <w:rsid w:val="00A71846"/>
    <w:rsid w:val="00A73B89"/>
    <w:rsid w:val="00A751E5"/>
    <w:rsid w:val="00A85E46"/>
    <w:rsid w:val="00A8790D"/>
    <w:rsid w:val="00A87AB2"/>
    <w:rsid w:val="00A976D2"/>
    <w:rsid w:val="00AA173E"/>
    <w:rsid w:val="00AA76F2"/>
    <w:rsid w:val="00AB0DA7"/>
    <w:rsid w:val="00AB292B"/>
    <w:rsid w:val="00AB52D0"/>
    <w:rsid w:val="00AC1191"/>
    <w:rsid w:val="00AC6AE4"/>
    <w:rsid w:val="00AC7A02"/>
    <w:rsid w:val="00AC7F60"/>
    <w:rsid w:val="00AD01ED"/>
    <w:rsid w:val="00AD5001"/>
    <w:rsid w:val="00AD506B"/>
    <w:rsid w:val="00AD5865"/>
    <w:rsid w:val="00AE66CF"/>
    <w:rsid w:val="00AF3877"/>
    <w:rsid w:val="00AF4493"/>
    <w:rsid w:val="00B01067"/>
    <w:rsid w:val="00B01C30"/>
    <w:rsid w:val="00B03D95"/>
    <w:rsid w:val="00B06BB3"/>
    <w:rsid w:val="00B119B9"/>
    <w:rsid w:val="00B146C4"/>
    <w:rsid w:val="00B1526F"/>
    <w:rsid w:val="00B16009"/>
    <w:rsid w:val="00B16655"/>
    <w:rsid w:val="00B170CB"/>
    <w:rsid w:val="00B17721"/>
    <w:rsid w:val="00B178E7"/>
    <w:rsid w:val="00B22132"/>
    <w:rsid w:val="00B22901"/>
    <w:rsid w:val="00B24576"/>
    <w:rsid w:val="00B24834"/>
    <w:rsid w:val="00B25147"/>
    <w:rsid w:val="00B338D8"/>
    <w:rsid w:val="00B33991"/>
    <w:rsid w:val="00B35A12"/>
    <w:rsid w:val="00B36CC4"/>
    <w:rsid w:val="00B3735D"/>
    <w:rsid w:val="00B37E26"/>
    <w:rsid w:val="00B46FEE"/>
    <w:rsid w:val="00B61B58"/>
    <w:rsid w:val="00B62C31"/>
    <w:rsid w:val="00B64017"/>
    <w:rsid w:val="00B6433F"/>
    <w:rsid w:val="00B7254A"/>
    <w:rsid w:val="00B772F6"/>
    <w:rsid w:val="00B83D22"/>
    <w:rsid w:val="00B9173F"/>
    <w:rsid w:val="00B9174E"/>
    <w:rsid w:val="00B933D5"/>
    <w:rsid w:val="00B951AE"/>
    <w:rsid w:val="00BA27BE"/>
    <w:rsid w:val="00BB43AE"/>
    <w:rsid w:val="00BB4B0D"/>
    <w:rsid w:val="00BC44A5"/>
    <w:rsid w:val="00BC54BC"/>
    <w:rsid w:val="00BC65E4"/>
    <w:rsid w:val="00BD02CE"/>
    <w:rsid w:val="00BD0DFE"/>
    <w:rsid w:val="00BD4919"/>
    <w:rsid w:val="00BD4ED1"/>
    <w:rsid w:val="00BD5A2E"/>
    <w:rsid w:val="00BD6112"/>
    <w:rsid w:val="00BD6DEB"/>
    <w:rsid w:val="00BE1862"/>
    <w:rsid w:val="00BE5A1F"/>
    <w:rsid w:val="00BF18F6"/>
    <w:rsid w:val="00BF7335"/>
    <w:rsid w:val="00C0034B"/>
    <w:rsid w:val="00C03033"/>
    <w:rsid w:val="00C05249"/>
    <w:rsid w:val="00C07C5C"/>
    <w:rsid w:val="00C1152A"/>
    <w:rsid w:val="00C21067"/>
    <w:rsid w:val="00C2255B"/>
    <w:rsid w:val="00C27468"/>
    <w:rsid w:val="00C302ED"/>
    <w:rsid w:val="00C35315"/>
    <w:rsid w:val="00C367C6"/>
    <w:rsid w:val="00C41F6B"/>
    <w:rsid w:val="00C42255"/>
    <w:rsid w:val="00C45B51"/>
    <w:rsid w:val="00C4650C"/>
    <w:rsid w:val="00C47492"/>
    <w:rsid w:val="00C51532"/>
    <w:rsid w:val="00C53E3B"/>
    <w:rsid w:val="00C60EFA"/>
    <w:rsid w:val="00C64311"/>
    <w:rsid w:val="00C65388"/>
    <w:rsid w:val="00C65468"/>
    <w:rsid w:val="00C72C64"/>
    <w:rsid w:val="00C77FEB"/>
    <w:rsid w:val="00C83A7C"/>
    <w:rsid w:val="00C846AA"/>
    <w:rsid w:val="00C86ED2"/>
    <w:rsid w:val="00C90C0F"/>
    <w:rsid w:val="00C96087"/>
    <w:rsid w:val="00CA00F1"/>
    <w:rsid w:val="00CA2C66"/>
    <w:rsid w:val="00CA3F8A"/>
    <w:rsid w:val="00CB5A6C"/>
    <w:rsid w:val="00CC39FE"/>
    <w:rsid w:val="00CC5099"/>
    <w:rsid w:val="00CD10D0"/>
    <w:rsid w:val="00CD237E"/>
    <w:rsid w:val="00CD6C2C"/>
    <w:rsid w:val="00CE17AA"/>
    <w:rsid w:val="00CE1962"/>
    <w:rsid w:val="00CE24C2"/>
    <w:rsid w:val="00CE28A4"/>
    <w:rsid w:val="00CE3214"/>
    <w:rsid w:val="00CE42D7"/>
    <w:rsid w:val="00CE44D7"/>
    <w:rsid w:val="00CE566C"/>
    <w:rsid w:val="00CF0BCE"/>
    <w:rsid w:val="00CF12AE"/>
    <w:rsid w:val="00CF5702"/>
    <w:rsid w:val="00CF6D59"/>
    <w:rsid w:val="00CF7220"/>
    <w:rsid w:val="00D101EC"/>
    <w:rsid w:val="00D10BC4"/>
    <w:rsid w:val="00D14882"/>
    <w:rsid w:val="00D152D9"/>
    <w:rsid w:val="00D15FE9"/>
    <w:rsid w:val="00D21C1B"/>
    <w:rsid w:val="00D24DC6"/>
    <w:rsid w:val="00D27449"/>
    <w:rsid w:val="00D30307"/>
    <w:rsid w:val="00D3066C"/>
    <w:rsid w:val="00D32C70"/>
    <w:rsid w:val="00D3661C"/>
    <w:rsid w:val="00D37A42"/>
    <w:rsid w:val="00D42DCF"/>
    <w:rsid w:val="00D50542"/>
    <w:rsid w:val="00D50E70"/>
    <w:rsid w:val="00D51716"/>
    <w:rsid w:val="00D53B3E"/>
    <w:rsid w:val="00D54B9B"/>
    <w:rsid w:val="00D55A20"/>
    <w:rsid w:val="00D62E7A"/>
    <w:rsid w:val="00D671EF"/>
    <w:rsid w:val="00D67F87"/>
    <w:rsid w:val="00D721B8"/>
    <w:rsid w:val="00D73EE2"/>
    <w:rsid w:val="00D75500"/>
    <w:rsid w:val="00D76051"/>
    <w:rsid w:val="00D8311E"/>
    <w:rsid w:val="00D85013"/>
    <w:rsid w:val="00D86172"/>
    <w:rsid w:val="00D86C4A"/>
    <w:rsid w:val="00D90CFE"/>
    <w:rsid w:val="00DA1480"/>
    <w:rsid w:val="00DD50C9"/>
    <w:rsid w:val="00DD54F7"/>
    <w:rsid w:val="00DE1C2B"/>
    <w:rsid w:val="00DE2E13"/>
    <w:rsid w:val="00DE52C5"/>
    <w:rsid w:val="00E01909"/>
    <w:rsid w:val="00E133AA"/>
    <w:rsid w:val="00E14327"/>
    <w:rsid w:val="00E17167"/>
    <w:rsid w:val="00E17675"/>
    <w:rsid w:val="00E264D0"/>
    <w:rsid w:val="00E27416"/>
    <w:rsid w:val="00E31CCB"/>
    <w:rsid w:val="00E335A8"/>
    <w:rsid w:val="00E338C8"/>
    <w:rsid w:val="00E371A6"/>
    <w:rsid w:val="00E40871"/>
    <w:rsid w:val="00E418FB"/>
    <w:rsid w:val="00E42431"/>
    <w:rsid w:val="00E45B3B"/>
    <w:rsid w:val="00E51510"/>
    <w:rsid w:val="00E55422"/>
    <w:rsid w:val="00E6108D"/>
    <w:rsid w:val="00E61EC6"/>
    <w:rsid w:val="00E64A91"/>
    <w:rsid w:val="00E64FDD"/>
    <w:rsid w:val="00E657D2"/>
    <w:rsid w:val="00E66575"/>
    <w:rsid w:val="00E67896"/>
    <w:rsid w:val="00E678F1"/>
    <w:rsid w:val="00E67A0E"/>
    <w:rsid w:val="00E723BC"/>
    <w:rsid w:val="00E77AEB"/>
    <w:rsid w:val="00E80895"/>
    <w:rsid w:val="00E81911"/>
    <w:rsid w:val="00E8501A"/>
    <w:rsid w:val="00E87334"/>
    <w:rsid w:val="00E90256"/>
    <w:rsid w:val="00E9618A"/>
    <w:rsid w:val="00E977CD"/>
    <w:rsid w:val="00EA1545"/>
    <w:rsid w:val="00EA206C"/>
    <w:rsid w:val="00EB35EE"/>
    <w:rsid w:val="00EB640D"/>
    <w:rsid w:val="00EC14A6"/>
    <w:rsid w:val="00EC382E"/>
    <w:rsid w:val="00EC6974"/>
    <w:rsid w:val="00EC7C36"/>
    <w:rsid w:val="00ED367D"/>
    <w:rsid w:val="00ED7B0D"/>
    <w:rsid w:val="00EE023E"/>
    <w:rsid w:val="00EE134E"/>
    <w:rsid w:val="00EE35B6"/>
    <w:rsid w:val="00EE67B7"/>
    <w:rsid w:val="00EF7021"/>
    <w:rsid w:val="00F07C03"/>
    <w:rsid w:val="00F11D0D"/>
    <w:rsid w:val="00F13C5D"/>
    <w:rsid w:val="00F22D3D"/>
    <w:rsid w:val="00F2585F"/>
    <w:rsid w:val="00F25F90"/>
    <w:rsid w:val="00F335F5"/>
    <w:rsid w:val="00F34CAD"/>
    <w:rsid w:val="00F3705B"/>
    <w:rsid w:val="00F41747"/>
    <w:rsid w:val="00F42248"/>
    <w:rsid w:val="00F5337D"/>
    <w:rsid w:val="00F54477"/>
    <w:rsid w:val="00F55C9C"/>
    <w:rsid w:val="00F62745"/>
    <w:rsid w:val="00F63A14"/>
    <w:rsid w:val="00F802F1"/>
    <w:rsid w:val="00F82AD9"/>
    <w:rsid w:val="00F92C76"/>
    <w:rsid w:val="00F94D1F"/>
    <w:rsid w:val="00F978CE"/>
    <w:rsid w:val="00FA0D0F"/>
    <w:rsid w:val="00FA208C"/>
    <w:rsid w:val="00FA306F"/>
    <w:rsid w:val="00FA737A"/>
    <w:rsid w:val="00FB275E"/>
    <w:rsid w:val="00FB41F4"/>
    <w:rsid w:val="00FC23DE"/>
    <w:rsid w:val="00FC4C1A"/>
    <w:rsid w:val="00FD6EFC"/>
    <w:rsid w:val="00FD7407"/>
    <w:rsid w:val="00FE2C71"/>
    <w:rsid w:val="00FE4569"/>
    <w:rsid w:val="00FE5491"/>
    <w:rsid w:val="00FE6395"/>
    <w:rsid w:val="00FF2BA9"/>
    <w:rsid w:val="00FF46EB"/>
    <w:rsid w:val="00FF4951"/>
    <w:rsid w:val="00FF4F3E"/>
    <w:rsid w:val="00FF69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1FE"/>
    <w:pPr>
      <w:spacing w:after="0" w:line="240" w:lineRule="auto"/>
      <w:ind w:firstLine="454"/>
      <w:jc w:val="both"/>
    </w:pPr>
    <w:rPr>
      <w:rFonts w:ascii="Times New Roman" w:hAnsi="Times New Roman"/>
      <w:sz w:val="28"/>
      <w:lang w:val="lv-LV"/>
    </w:rPr>
  </w:style>
  <w:style w:type="paragraph" w:styleId="Heading1">
    <w:name w:val="heading 1"/>
    <w:basedOn w:val="Normal"/>
    <w:next w:val="Normal"/>
    <w:link w:val="Heading1Char"/>
    <w:uiPriority w:val="9"/>
    <w:qFormat/>
    <w:rsid w:val="001211FE"/>
    <w:pPr>
      <w:keepNext/>
      <w:keepLines/>
      <w:numPr>
        <w:numId w:val="11"/>
      </w:numPr>
      <w:spacing w:after="120"/>
      <w:jc w:val="left"/>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EE67B7"/>
    <w:pPr>
      <w:keepNext/>
      <w:keepLines/>
      <w:spacing w:before="120" w:after="120"/>
      <w:ind w:firstLine="68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E977CD"/>
    <w:pPr>
      <w:keepNext/>
      <w:keepLines/>
      <w:spacing w:before="120" w:after="120"/>
      <w:outlineLvl w:val="2"/>
    </w:pPr>
    <w:rPr>
      <w:rFonts w:eastAsiaTheme="majorEastAsia" w:cstheme="majorBidi"/>
      <w:b/>
      <w:bCs/>
    </w:rPr>
  </w:style>
  <w:style w:type="paragraph" w:styleId="Heading4">
    <w:name w:val="heading 4"/>
    <w:basedOn w:val="Normal"/>
    <w:next w:val="Normal"/>
    <w:link w:val="Heading4Char"/>
    <w:uiPriority w:val="9"/>
    <w:unhideWhenUsed/>
    <w:qFormat/>
    <w:rsid w:val="005F6EB4"/>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176A5"/>
    <w:pPr>
      <w:pBdr>
        <w:bottom w:val="single" w:sz="8" w:space="4" w:color="4F81BD" w:themeColor="accent1"/>
      </w:pBdr>
      <w:spacing w:after="300"/>
      <w:ind w:firstLine="0"/>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uiPriority w:val="10"/>
    <w:rsid w:val="007176A5"/>
    <w:rPr>
      <w:rFonts w:ascii="Times New Roman" w:eastAsiaTheme="majorEastAsia" w:hAnsi="Times New Roman" w:cstheme="majorBidi"/>
      <w:spacing w:val="5"/>
      <w:kern w:val="28"/>
      <w:sz w:val="52"/>
      <w:szCs w:val="52"/>
      <w:lang w:val="lv-LV"/>
    </w:rPr>
  </w:style>
  <w:style w:type="paragraph" w:styleId="ListParagraph">
    <w:name w:val="List Paragraph"/>
    <w:basedOn w:val="Normal"/>
    <w:link w:val="ListParagraphChar"/>
    <w:uiPriority w:val="34"/>
    <w:qFormat/>
    <w:rsid w:val="004A517D"/>
    <w:pPr>
      <w:ind w:left="720"/>
      <w:contextualSpacing/>
    </w:pPr>
  </w:style>
  <w:style w:type="character" w:styleId="Emphasis">
    <w:name w:val="Emphasis"/>
    <w:basedOn w:val="DefaultParagraphFont"/>
    <w:uiPriority w:val="20"/>
    <w:qFormat/>
    <w:rsid w:val="003432AF"/>
    <w:rPr>
      <w:rFonts w:cs="Times New Roman"/>
      <w:i/>
      <w:iCs/>
    </w:rPr>
  </w:style>
  <w:style w:type="paragraph" w:styleId="BalloonText">
    <w:name w:val="Balloon Text"/>
    <w:basedOn w:val="Normal"/>
    <w:link w:val="BalloonTextChar"/>
    <w:uiPriority w:val="99"/>
    <w:semiHidden/>
    <w:unhideWhenUsed/>
    <w:rsid w:val="003432AF"/>
    <w:rPr>
      <w:rFonts w:ascii="Tahoma" w:hAnsi="Tahoma" w:cs="Tahoma"/>
      <w:sz w:val="16"/>
      <w:szCs w:val="16"/>
    </w:rPr>
  </w:style>
  <w:style w:type="character" w:customStyle="1" w:styleId="BalloonTextChar">
    <w:name w:val="Balloon Text Char"/>
    <w:basedOn w:val="DefaultParagraphFont"/>
    <w:link w:val="BalloonText"/>
    <w:uiPriority w:val="99"/>
    <w:semiHidden/>
    <w:rsid w:val="003432AF"/>
    <w:rPr>
      <w:rFonts w:ascii="Tahoma" w:hAnsi="Tahoma" w:cs="Tahoma"/>
      <w:sz w:val="16"/>
      <w:szCs w:val="16"/>
    </w:rPr>
  </w:style>
  <w:style w:type="character" w:customStyle="1" w:styleId="st">
    <w:name w:val="st"/>
    <w:basedOn w:val="DefaultParagraphFont"/>
    <w:uiPriority w:val="99"/>
    <w:rsid w:val="003432AF"/>
    <w:rPr>
      <w:rFonts w:cs="Times New Roman"/>
    </w:rPr>
  </w:style>
  <w:style w:type="character" w:customStyle="1" w:styleId="Heading1Char">
    <w:name w:val="Heading 1 Char"/>
    <w:basedOn w:val="DefaultParagraphFont"/>
    <w:link w:val="Heading1"/>
    <w:uiPriority w:val="9"/>
    <w:rsid w:val="001211FE"/>
    <w:rPr>
      <w:rFonts w:ascii="Times New Roman" w:eastAsiaTheme="majorEastAsia" w:hAnsi="Times New Roman" w:cstheme="majorBidi"/>
      <w:b/>
      <w:bCs/>
      <w:sz w:val="32"/>
      <w:szCs w:val="28"/>
      <w:lang w:val="lv-LV"/>
    </w:rPr>
  </w:style>
  <w:style w:type="character" w:customStyle="1" w:styleId="cspklasifikatorscodename">
    <w:name w:val="csp_klasifikators_code_name"/>
    <w:basedOn w:val="DefaultParagraphFont"/>
    <w:rsid w:val="00B17721"/>
  </w:style>
  <w:style w:type="paragraph" w:styleId="NormalWeb">
    <w:name w:val="Normal (Web)"/>
    <w:aliases w:val="sākums"/>
    <w:basedOn w:val="Normal"/>
    <w:uiPriority w:val="99"/>
    <w:unhideWhenUsed/>
    <w:rsid w:val="005627CE"/>
    <w:pPr>
      <w:spacing w:before="100" w:beforeAutospacing="1" w:after="100" w:afterAutospacing="1"/>
      <w:ind w:firstLine="0"/>
      <w:jc w:val="left"/>
    </w:pPr>
    <w:rPr>
      <w:rFonts w:eastAsia="Times New Roman" w:cs="Times New Roman"/>
      <w:sz w:val="24"/>
      <w:szCs w:val="24"/>
      <w:lang w:eastAsia="lv-LV"/>
    </w:rPr>
  </w:style>
  <w:style w:type="paragraph" w:styleId="FootnoteText">
    <w:name w:val="footnote text"/>
    <w:aliases w:val="Footnote,Fußnote,Schriftart: 9 pt,Schriftart: 10 pt,Schriftart: 8 pt,WB-Fußnotentext,WB-Fußnotentext Char Char,WB-Fußnotentext Char,stile 1,Footnote1,Footnote2,Footnote3,Footnote4,Footnote5,Footnote6,Footnote7,Footnote8,Footnote9,fn,FT"/>
    <w:basedOn w:val="Normal"/>
    <w:link w:val="FootnoteTextChar"/>
    <w:uiPriority w:val="99"/>
    <w:unhideWhenUsed/>
    <w:rsid w:val="00765075"/>
    <w:pPr>
      <w:ind w:firstLine="0"/>
      <w:jc w:val="left"/>
    </w:pPr>
    <w:rPr>
      <w:rFonts w:ascii="Calibri" w:eastAsia="Times New Roman" w:hAnsi="Calibri" w:cs="Times New Roman"/>
      <w:sz w:val="20"/>
      <w:szCs w:val="20"/>
      <w:lang w:val="en-US"/>
    </w:rPr>
  </w:style>
  <w:style w:type="character" w:customStyle="1" w:styleId="FootnoteTextChar">
    <w:name w:val="Footnote Text Char"/>
    <w:aliases w:val="Footnote Char,Fußnote Char,Schriftart: 9 pt Char,Schriftart: 10 pt Char,Schriftart: 8 pt Char,WB-Fußnotentext Char1,WB-Fußnotentext Char Char Char,WB-Fußnotentext Char Char1,stile 1 Char,Footnote1 Char,Footnote2 Char,Footnote3 Char"/>
    <w:basedOn w:val="DefaultParagraphFont"/>
    <w:link w:val="FootnoteText"/>
    <w:uiPriority w:val="99"/>
    <w:rsid w:val="00765075"/>
    <w:rPr>
      <w:rFonts w:ascii="Calibri" w:eastAsia="Times New Roman" w:hAnsi="Calibri" w:cs="Times New Roman"/>
      <w:sz w:val="20"/>
      <w:szCs w:val="20"/>
      <w:lang w:val="en-US"/>
    </w:rPr>
  </w:style>
  <w:style w:type="character" w:styleId="FootnoteReference">
    <w:name w:val="footnote reference"/>
    <w:aliases w:val="Footnote Reference Number,Footnote Reference Superscript,Footnote symbol,fr"/>
    <w:basedOn w:val="DefaultParagraphFont"/>
    <w:uiPriority w:val="99"/>
    <w:unhideWhenUsed/>
    <w:rsid w:val="00765075"/>
    <w:rPr>
      <w:vertAlign w:val="superscript"/>
    </w:rPr>
  </w:style>
  <w:style w:type="character" w:customStyle="1" w:styleId="Heading2Char">
    <w:name w:val="Heading 2 Char"/>
    <w:basedOn w:val="DefaultParagraphFont"/>
    <w:link w:val="Heading2"/>
    <w:uiPriority w:val="9"/>
    <w:rsid w:val="00EE67B7"/>
    <w:rPr>
      <w:rFonts w:ascii="Times New Roman" w:eastAsiaTheme="majorEastAsia" w:hAnsi="Times New Roman" w:cstheme="majorBidi"/>
      <w:b/>
      <w:bCs/>
      <w:sz w:val="28"/>
      <w:szCs w:val="26"/>
      <w:lang w:val="lv-LV"/>
    </w:rPr>
  </w:style>
  <w:style w:type="table" w:styleId="TableGrid">
    <w:name w:val="Table Grid"/>
    <w:basedOn w:val="TableNormal"/>
    <w:uiPriority w:val="59"/>
    <w:rsid w:val="00330B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ksts11">
    <w:name w:val="Taksts_11"/>
    <w:basedOn w:val="Normal"/>
    <w:rsid w:val="00330B6F"/>
    <w:pPr>
      <w:ind w:firstLine="567"/>
    </w:pPr>
    <w:rPr>
      <w:rFonts w:eastAsia="Times New Roman" w:cs="Times New Roman"/>
      <w:sz w:val="24"/>
      <w:szCs w:val="20"/>
      <w:lang w:val="en-US"/>
    </w:rPr>
  </w:style>
  <w:style w:type="paragraph" w:styleId="Header">
    <w:name w:val="header"/>
    <w:basedOn w:val="Normal"/>
    <w:link w:val="HeaderChar"/>
    <w:uiPriority w:val="99"/>
    <w:unhideWhenUsed/>
    <w:rsid w:val="00D32C70"/>
    <w:pPr>
      <w:tabs>
        <w:tab w:val="center" w:pos="4153"/>
        <w:tab w:val="right" w:pos="8306"/>
      </w:tabs>
    </w:pPr>
  </w:style>
  <w:style w:type="character" w:customStyle="1" w:styleId="HeaderChar">
    <w:name w:val="Header Char"/>
    <w:basedOn w:val="DefaultParagraphFont"/>
    <w:link w:val="Header"/>
    <w:uiPriority w:val="99"/>
    <w:rsid w:val="00D32C70"/>
    <w:rPr>
      <w:rFonts w:ascii="Times New Roman" w:hAnsi="Times New Roman"/>
      <w:sz w:val="28"/>
      <w:lang w:val="lv-LV"/>
    </w:rPr>
  </w:style>
  <w:style w:type="paragraph" w:styleId="Footer">
    <w:name w:val="footer"/>
    <w:basedOn w:val="Normal"/>
    <w:link w:val="FooterChar"/>
    <w:uiPriority w:val="99"/>
    <w:unhideWhenUsed/>
    <w:rsid w:val="00D32C70"/>
    <w:pPr>
      <w:tabs>
        <w:tab w:val="center" w:pos="4153"/>
        <w:tab w:val="right" w:pos="8306"/>
      </w:tabs>
    </w:pPr>
  </w:style>
  <w:style w:type="character" w:customStyle="1" w:styleId="FooterChar">
    <w:name w:val="Footer Char"/>
    <w:basedOn w:val="DefaultParagraphFont"/>
    <w:link w:val="Footer"/>
    <w:uiPriority w:val="99"/>
    <w:rsid w:val="00D32C70"/>
    <w:rPr>
      <w:rFonts w:ascii="Times New Roman" w:hAnsi="Times New Roman"/>
      <w:sz w:val="28"/>
      <w:lang w:val="lv-LV"/>
    </w:rPr>
  </w:style>
  <w:style w:type="paragraph" w:styleId="TOCHeading">
    <w:name w:val="TOC Heading"/>
    <w:basedOn w:val="Heading1"/>
    <w:next w:val="Normal"/>
    <w:uiPriority w:val="39"/>
    <w:semiHidden/>
    <w:unhideWhenUsed/>
    <w:qFormat/>
    <w:rsid w:val="00B35A12"/>
    <w:pPr>
      <w:numPr>
        <w:numId w:val="0"/>
      </w:numPr>
      <w:spacing w:before="480" w:after="0" w:line="276" w:lineRule="auto"/>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rsid w:val="002B75CD"/>
    <w:pPr>
      <w:tabs>
        <w:tab w:val="left" w:pos="709"/>
        <w:tab w:val="right" w:leader="dot" w:pos="9174"/>
      </w:tabs>
      <w:spacing w:before="120" w:after="120"/>
      <w:jc w:val="left"/>
    </w:pPr>
    <w:rPr>
      <w:rFonts w:asciiTheme="minorHAnsi" w:hAnsiTheme="minorHAnsi" w:cstheme="minorHAnsi"/>
      <w:b/>
      <w:bCs/>
      <w:caps/>
      <w:sz w:val="20"/>
      <w:szCs w:val="20"/>
    </w:rPr>
  </w:style>
  <w:style w:type="character" w:styleId="Hyperlink">
    <w:name w:val="Hyperlink"/>
    <w:basedOn w:val="DefaultParagraphFont"/>
    <w:uiPriority w:val="99"/>
    <w:unhideWhenUsed/>
    <w:rsid w:val="00B35A12"/>
    <w:rPr>
      <w:color w:val="0000FF" w:themeColor="hyperlink"/>
      <w:u w:val="single"/>
    </w:rPr>
  </w:style>
  <w:style w:type="paragraph" w:styleId="TOC2">
    <w:name w:val="toc 2"/>
    <w:basedOn w:val="Normal"/>
    <w:next w:val="Normal"/>
    <w:autoRedefine/>
    <w:uiPriority w:val="39"/>
    <w:unhideWhenUsed/>
    <w:rsid w:val="00B35A12"/>
    <w:pPr>
      <w:ind w:left="280"/>
      <w:jc w:val="left"/>
    </w:pPr>
    <w:rPr>
      <w:rFonts w:asciiTheme="minorHAnsi" w:hAnsiTheme="minorHAnsi" w:cstheme="minorHAnsi"/>
      <w:smallCaps/>
      <w:sz w:val="20"/>
      <w:szCs w:val="20"/>
    </w:rPr>
  </w:style>
  <w:style w:type="paragraph" w:styleId="TOC3">
    <w:name w:val="toc 3"/>
    <w:basedOn w:val="Normal"/>
    <w:next w:val="Normal"/>
    <w:autoRedefine/>
    <w:uiPriority w:val="39"/>
    <w:unhideWhenUsed/>
    <w:rsid w:val="00B35A12"/>
    <w:pPr>
      <w:ind w:left="560"/>
      <w:jc w:val="left"/>
    </w:pPr>
    <w:rPr>
      <w:rFonts w:asciiTheme="minorHAnsi" w:hAnsiTheme="minorHAnsi" w:cstheme="minorHAnsi"/>
      <w:i/>
      <w:iCs/>
      <w:sz w:val="20"/>
      <w:szCs w:val="20"/>
    </w:rPr>
  </w:style>
  <w:style w:type="paragraph" w:styleId="TOC4">
    <w:name w:val="toc 4"/>
    <w:basedOn w:val="Normal"/>
    <w:next w:val="Normal"/>
    <w:autoRedefine/>
    <w:uiPriority w:val="39"/>
    <w:unhideWhenUsed/>
    <w:rsid w:val="00B35A12"/>
    <w:pPr>
      <w:ind w:left="840"/>
      <w:jc w:val="left"/>
    </w:pPr>
    <w:rPr>
      <w:rFonts w:asciiTheme="minorHAnsi" w:hAnsiTheme="minorHAnsi" w:cstheme="minorHAnsi"/>
      <w:sz w:val="18"/>
      <w:szCs w:val="18"/>
    </w:rPr>
  </w:style>
  <w:style w:type="paragraph" w:styleId="TOC5">
    <w:name w:val="toc 5"/>
    <w:basedOn w:val="Normal"/>
    <w:next w:val="Normal"/>
    <w:autoRedefine/>
    <w:uiPriority w:val="39"/>
    <w:unhideWhenUsed/>
    <w:rsid w:val="00B35A12"/>
    <w:pPr>
      <w:ind w:left="1120"/>
      <w:jc w:val="left"/>
    </w:pPr>
    <w:rPr>
      <w:rFonts w:asciiTheme="minorHAnsi" w:hAnsiTheme="minorHAnsi" w:cstheme="minorHAnsi"/>
      <w:sz w:val="18"/>
      <w:szCs w:val="18"/>
    </w:rPr>
  </w:style>
  <w:style w:type="paragraph" w:styleId="TOC6">
    <w:name w:val="toc 6"/>
    <w:basedOn w:val="Normal"/>
    <w:next w:val="Normal"/>
    <w:autoRedefine/>
    <w:uiPriority w:val="39"/>
    <w:unhideWhenUsed/>
    <w:rsid w:val="00B35A12"/>
    <w:pPr>
      <w:ind w:left="1400"/>
      <w:jc w:val="left"/>
    </w:pPr>
    <w:rPr>
      <w:rFonts w:asciiTheme="minorHAnsi" w:hAnsiTheme="minorHAnsi" w:cstheme="minorHAnsi"/>
      <w:sz w:val="18"/>
      <w:szCs w:val="18"/>
    </w:rPr>
  </w:style>
  <w:style w:type="paragraph" w:styleId="TOC7">
    <w:name w:val="toc 7"/>
    <w:basedOn w:val="Normal"/>
    <w:next w:val="Normal"/>
    <w:autoRedefine/>
    <w:uiPriority w:val="39"/>
    <w:unhideWhenUsed/>
    <w:rsid w:val="00B35A12"/>
    <w:pPr>
      <w:ind w:left="1680"/>
      <w:jc w:val="left"/>
    </w:pPr>
    <w:rPr>
      <w:rFonts w:asciiTheme="minorHAnsi" w:hAnsiTheme="minorHAnsi" w:cstheme="minorHAnsi"/>
      <w:sz w:val="18"/>
      <w:szCs w:val="18"/>
    </w:rPr>
  </w:style>
  <w:style w:type="paragraph" w:styleId="TOC8">
    <w:name w:val="toc 8"/>
    <w:basedOn w:val="Normal"/>
    <w:next w:val="Normal"/>
    <w:autoRedefine/>
    <w:uiPriority w:val="39"/>
    <w:unhideWhenUsed/>
    <w:rsid w:val="00B35A12"/>
    <w:pPr>
      <w:ind w:left="1960"/>
      <w:jc w:val="left"/>
    </w:pPr>
    <w:rPr>
      <w:rFonts w:asciiTheme="minorHAnsi" w:hAnsiTheme="minorHAnsi" w:cstheme="minorHAnsi"/>
      <w:sz w:val="18"/>
      <w:szCs w:val="18"/>
    </w:rPr>
  </w:style>
  <w:style w:type="paragraph" w:styleId="TOC9">
    <w:name w:val="toc 9"/>
    <w:basedOn w:val="Normal"/>
    <w:next w:val="Normal"/>
    <w:autoRedefine/>
    <w:uiPriority w:val="39"/>
    <w:unhideWhenUsed/>
    <w:rsid w:val="00B35A12"/>
    <w:pPr>
      <w:ind w:left="2240"/>
      <w:jc w:val="left"/>
    </w:pPr>
    <w:rPr>
      <w:rFonts w:asciiTheme="minorHAnsi" w:hAnsiTheme="minorHAnsi" w:cstheme="minorHAnsi"/>
      <w:sz w:val="18"/>
      <w:szCs w:val="18"/>
    </w:rPr>
  </w:style>
  <w:style w:type="paragraph" w:styleId="BodyText">
    <w:name w:val="Body Text"/>
    <w:aliases w:val="OT Body Text,Body,Tekst,Body Text Char Char,Body Text Char Char Char"/>
    <w:basedOn w:val="Normal"/>
    <w:link w:val="BodyTextChar1"/>
    <w:rsid w:val="009245CF"/>
    <w:pPr>
      <w:spacing w:after="120"/>
      <w:ind w:firstLine="0"/>
      <w:jc w:val="left"/>
    </w:pPr>
    <w:rPr>
      <w:rFonts w:eastAsia="Times New Roman" w:cs="Times New Roman"/>
      <w:sz w:val="24"/>
      <w:szCs w:val="24"/>
      <w:lang w:eastAsia="zh-CN"/>
    </w:rPr>
  </w:style>
  <w:style w:type="character" w:customStyle="1" w:styleId="BodyTextChar">
    <w:name w:val="Body Text Char"/>
    <w:basedOn w:val="DefaultParagraphFont"/>
    <w:uiPriority w:val="99"/>
    <w:semiHidden/>
    <w:rsid w:val="009245CF"/>
    <w:rPr>
      <w:rFonts w:ascii="Times New Roman" w:hAnsi="Times New Roman"/>
      <w:sz w:val="28"/>
      <w:lang w:val="lv-LV"/>
    </w:rPr>
  </w:style>
  <w:style w:type="character" w:customStyle="1" w:styleId="BodyTextChar1">
    <w:name w:val="Body Text Char1"/>
    <w:aliases w:val="OT Body Text Char,Body Char,Tekst Char,Body Text Char Char Char1,Body Text Char Char Char Char"/>
    <w:basedOn w:val="DefaultParagraphFont"/>
    <w:link w:val="BodyText"/>
    <w:locked/>
    <w:rsid w:val="009245CF"/>
    <w:rPr>
      <w:rFonts w:ascii="Times New Roman" w:eastAsia="Times New Roman" w:hAnsi="Times New Roman" w:cs="Times New Roman"/>
      <w:sz w:val="24"/>
      <w:szCs w:val="24"/>
      <w:lang w:val="lv-LV" w:eastAsia="zh-CN"/>
    </w:rPr>
  </w:style>
  <w:style w:type="character" w:customStyle="1" w:styleId="Heading3Char">
    <w:name w:val="Heading 3 Char"/>
    <w:basedOn w:val="DefaultParagraphFont"/>
    <w:link w:val="Heading3"/>
    <w:uiPriority w:val="9"/>
    <w:rsid w:val="00E977CD"/>
    <w:rPr>
      <w:rFonts w:ascii="Times New Roman" w:eastAsiaTheme="majorEastAsia" w:hAnsi="Times New Roman" w:cstheme="majorBidi"/>
      <w:b/>
      <w:bCs/>
      <w:sz w:val="28"/>
      <w:lang w:val="lv-LV"/>
    </w:rPr>
  </w:style>
  <w:style w:type="character" w:customStyle="1" w:styleId="ListParagraphChar">
    <w:name w:val="List Paragraph Char"/>
    <w:link w:val="ListParagraph"/>
    <w:uiPriority w:val="34"/>
    <w:locked/>
    <w:rsid w:val="0013098B"/>
    <w:rPr>
      <w:rFonts w:ascii="Times New Roman" w:hAnsi="Times New Roman"/>
      <w:sz w:val="28"/>
      <w:lang w:val="lv-LV"/>
    </w:rPr>
  </w:style>
  <w:style w:type="paragraph" w:customStyle="1" w:styleId="naisc">
    <w:name w:val="naisc"/>
    <w:basedOn w:val="Normal"/>
    <w:rsid w:val="00E264D0"/>
    <w:pPr>
      <w:spacing w:before="100" w:beforeAutospacing="1" w:after="100" w:afterAutospacing="1"/>
      <w:ind w:firstLine="0"/>
      <w:jc w:val="left"/>
    </w:pPr>
    <w:rPr>
      <w:rFonts w:eastAsia="Times New Roman" w:cs="Times New Roman"/>
      <w:sz w:val="24"/>
      <w:szCs w:val="24"/>
      <w:lang w:eastAsia="zh-CN"/>
    </w:rPr>
  </w:style>
  <w:style w:type="paragraph" w:customStyle="1" w:styleId="naisf">
    <w:name w:val="naisf"/>
    <w:basedOn w:val="Normal"/>
    <w:rsid w:val="00751236"/>
    <w:pPr>
      <w:spacing w:before="94" w:after="94"/>
      <w:ind w:firstLine="468"/>
    </w:pPr>
    <w:rPr>
      <w:rFonts w:eastAsia="Times New Roman" w:cs="Times New Roman"/>
      <w:sz w:val="24"/>
      <w:szCs w:val="24"/>
      <w:lang w:eastAsia="zh-CN"/>
    </w:rPr>
  </w:style>
  <w:style w:type="character" w:customStyle="1" w:styleId="Heading4Char">
    <w:name w:val="Heading 4 Char"/>
    <w:basedOn w:val="DefaultParagraphFont"/>
    <w:link w:val="Heading4"/>
    <w:uiPriority w:val="9"/>
    <w:rsid w:val="005F6EB4"/>
    <w:rPr>
      <w:rFonts w:ascii="Times New Roman" w:eastAsiaTheme="majorEastAsia" w:hAnsi="Times New Roman" w:cstheme="majorBidi"/>
      <w:b/>
      <w:bCs/>
      <w:i/>
      <w:iCs/>
      <w:sz w:val="28"/>
      <w:lang w:val="lv-LV"/>
    </w:rPr>
  </w:style>
  <w:style w:type="character" w:styleId="CommentReference">
    <w:name w:val="annotation reference"/>
    <w:uiPriority w:val="99"/>
    <w:semiHidden/>
    <w:unhideWhenUsed/>
    <w:rsid w:val="00513847"/>
    <w:rPr>
      <w:sz w:val="16"/>
      <w:szCs w:val="16"/>
    </w:rPr>
  </w:style>
  <w:style w:type="paragraph" w:styleId="CommentText">
    <w:name w:val="annotation text"/>
    <w:basedOn w:val="Normal"/>
    <w:link w:val="CommentTextChar"/>
    <w:uiPriority w:val="99"/>
    <w:semiHidden/>
    <w:unhideWhenUsed/>
    <w:rsid w:val="00513847"/>
    <w:pPr>
      <w:spacing w:after="200" w:line="276" w:lineRule="auto"/>
      <w:ind w:firstLine="0"/>
      <w:jc w:val="left"/>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513847"/>
    <w:rPr>
      <w:rFonts w:ascii="Calibri" w:eastAsia="Calibri" w:hAnsi="Calibri" w:cs="Times New Roman"/>
      <w:sz w:val="20"/>
      <w:szCs w:val="20"/>
      <w:lang w:val="lv-LV"/>
    </w:rPr>
  </w:style>
  <w:style w:type="character" w:customStyle="1" w:styleId="hps">
    <w:name w:val="hps"/>
    <w:basedOn w:val="DefaultParagraphFont"/>
    <w:rsid w:val="006505C1"/>
  </w:style>
  <w:style w:type="paragraph" w:customStyle="1" w:styleId="9pirmstab3">
    <w:name w:val="9_pirms_tab_3"/>
    <w:basedOn w:val="Normal"/>
    <w:rsid w:val="003C7A03"/>
    <w:pPr>
      <w:tabs>
        <w:tab w:val="left" w:pos="3259"/>
        <w:tab w:val="left" w:pos="4200"/>
        <w:tab w:val="left" w:pos="5141"/>
        <w:tab w:val="left" w:pos="6082"/>
        <w:tab w:val="left" w:pos="7022"/>
        <w:tab w:val="left" w:pos="7963"/>
        <w:tab w:val="left" w:pos="8870"/>
        <w:tab w:val="left" w:pos="9794"/>
        <w:tab w:val="left" w:pos="10718"/>
        <w:tab w:val="left" w:pos="11659"/>
        <w:tab w:val="left" w:pos="13171"/>
      </w:tabs>
      <w:spacing w:after="60"/>
      <w:ind w:firstLine="0"/>
      <w:jc w:val="center"/>
    </w:pPr>
    <w:rPr>
      <w:rFonts w:eastAsia="Times New Roman" w:cs="Times New Roman"/>
      <w:color w:val="000000"/>
      <w:sz w:val="18"/>
      <w:szCs w:val="20"/>
    </w:rPr>
  </w:style>
  <w:style w:type="paragraph" w:styleId="CommentSubject">
    <w:name w:val="annotation subject"/>
    <w:basedOn w:val="CommentText"/>
    <w:next w:val="CommentText"/>
    <w:link w:val="CommentSubjectChar"/>
    <w:uiPriority w:val="99"/>
    <w:semiHidden/>
    <w:unhideWhenUsed/>
    <w:rsid w:val="00487E77"/>
    <w:pPr>
      <w:spacing w:after="0" w:line="240" w:lineRule="auto"/>
      <w:ind w:firstLine="454"/>
      <w:jc w:val="both"/>
    </w:pPr>
    <w:rPr>
      <w:rFonts w:ascii="Times New Roman" w:eastAsiaTheme="minorHAnsi" w:hAnsi="Times New Roman" w:cstheme="minorBidi"/>
      <w:b/>
      <w:bCs/>
    </w:rPr>
  </w:style>
  <w:style w:type="character" w:customStyle="1" w:styleId="CommentSubjectChar">
    <w:name w:val="Comment Subject Char"/>
    <w:basedOn w:val="CommentTextChar"/>
    <w:link w:val="CommentSubject"/>
    <w:uiPriority w:val="99"/>
    <w:semiHidden/>
    <w:rsid w:val="00487E77"/>
    <w:rPr>
      <w:rFonts w:ascii="Times New Roman" w:eastAsia="Calibri" w:hAnsi="Times New Roman" w:cs="Times New Roman"/>
      <w:b/>
      <w:bCs/>
      <w:sz w:val="20"/>
      <w:szCs w:val="20"/>
      <w:lang w:val="lv-LV"/>
    </w:rPr>
  </w:style>
  <w:style w:type="character" w:styleId="FollowedHyperlink">
    <w:name w:val="FollowedHyperlink"/>
    <w:aliases w:val="Footnote Text Char Char Char,Footnote Text Char1 Char Char Char,Footnote Text Char Char Char Char Char,Footnote Text Char1 Char Char Char Char Char Char Char Char,Footnote Text Char1,Footnote Text Char1 Char Char1 Char Char"/>
    <w:basedOn w:val="DefaultParagraphFont"/>
    <w:uiPriority w:val="99"/>
    <w:rsid w:val="00643AB3"/>
    <w:rPr>
      <w:sz w:val="22"/>
      <w:szCs w:val="22"/>
      <w:lang w:val="en-AU"/>
    </w:rPr>
  </w:style>
  <w:style w:type="table" w:styleId="LightShading-Accent2">
    <w:name w:val="Light Shading Accent 2"/>
    <w:basedOn w:val="TableNormal"/>
    <w:uiPriority w:val="60"/>
    <w:rsid w:val="009B504E"/>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
    <w:name w:val="Light Shading"/>
    <w:basedOn w:val="TableNormal"/>
    <w:uiPriority w:val="60"/>
    <w:rsid w:val="009B504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1">
    <w:name w:val="Medium Shading 1"/>
    <w:basedOn w:val="TableNormal"/>
    <w:uiPriority w:val="63"/>
    <w:rsid w:val="009B504E"/>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List1">
    <w:name w:val="Medium List 1"/>
    <w:basedOn w:val="TableNormal"/>
    <w:uiPriority w:val="65"/>
    <w:rsid w:val="009B504E"/>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Shading2-Accent1">
    <w:name w:val="Medium Shading 2 Accent 1"/>
    <w:basedOn w:val="TableNormal"/>
    <w:uiPriority w:val="64"/>
    <w:rsid w:val="003B5AB9"/>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
    <w:name w:val="Medium Shading 2"/>
    <w:basedOn w:val="TableNormal"/>
    <w:uiPriority w:val="64"/>
    <w:rsid w:val="003B5AB9"/>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2">
    <w:name w:val="Medium List 2"/>
    <w:basedOn w:val="TableNormal"/>
    <w:uiPriority w:val="66"/>
    <w:rsid w:val="003B5AB9"/>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1FE"/>
    <w:pPr>
      <w:spacing w:after="0" w:line="240" w:lineRule="auto"/>
      <w:ind w:firstLine="454"/>
      <w:jc w:val="both"/>
    </w:pPr>
    <w:rPr>
      <w:rFonts w:ascii="Times New Roman" w:hAnsi="Times New Roman"/>
      <w:sz w:val="28"/>
      <w:lang w:val="lv-LV"/>
    </w:rPr>
  </w:style>
  <w:style w:type="paragraph" w:styleId="Heading1">
    <w:name w:val="heading 1"/>
    <w:basedOn w:val="Normal"/>
    <w:next w:val="Normal"/>
    <w:link w:val="Heading1Char"/>
    <w:uiPriority w:val="9"/>
    <w:qFormat/>
    <w:rsid w:val="001211FE"/>
    <w:pPr>
      <w:keepNext/>
      <w:keepLines/>
      <w:numPr>
        <w:numId w:val="11"/>
      </w:numPr>
      <w:spacing w:after="120"/>
      <w:jc w:val="left"/>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EE67B7"/>
    <w:pPr>
      <w:keepNext/>
      <w:keepLines/>
      <w:spacing w:before="120" w:after="120"/>
      <w:ind w:firstLine="68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E977CD"/>
    <w:pPr>
      <w:keepNext/>
      <w:keepLines/>
      <w:spacing w:before="120" w:after="120"/>
      <w:outlineLvl w:val="2"/>
    </w:pPr>
    <w:rPr>
      <w:rFonts w:eastAsiaTheme="majorEastAsia" w:cstheme="majorBidi"/>
      <w:b/>
      <w:bCs/>
    </w:rPr>
  </w:style>
  <w:style w:type="paragraph" w:styleId="Heading4">
    <w:name w:val="heading 4"/>
    <w:basedOn w:val="Normal"/>
    <w:next w:val="Normal"/>
    <w:link w:val="Heading4Char"/>
    <w:uiPriority w:val="9"/>
    <w:unhideWhenUsed/>
    <w:qFormat/>
    <w:rsid w:val="005F6EB4"/>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176A5"/>
    <w:pPr>
      <w:pBdr>
        <w:bottom w:val="single" w:sz="8" w:space="4" w:color="4F81BD" w:themeColor="accent1"/>
      </w:pBdr>
      <w:spacing w:after="300"/>
      <w:ind w:firstLine="0"/>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uiPriority w:val="10"/>
    <w:rsid w:val="007176A5"/>
    <w:rPr>
      <w:rFonts w:ascii="Times New Roman" w:eastAsiaTheme="majorEastAsia" w:hAnsi="Times New Roman" w:cstheme="majorBidi"/>
      <w:spacing w:val="5"/>
      <w:kern w:val="28"/>
      <w:sz w:val="52"/>
      <w:szCs w:val="52"/>
      <w:lang w:val="lv-LV"/>
    </w:rPr>
  </w:style>
  <w:style w:type="paragraph" w:styleId="ListParagraph">
    <w:name w:val="List Paragraph"/>
    <w:basedOn w:val="Normal"/>
    <w:link w:val="ListParagraphChar"/>
    <w:uiPriority w:val="34"/>
    <w:qFormat/>
    <w:rsid w:val="004A517D"/>
    <w:pPr>
      <w:ind w:left="720"/>
      <w:contextualSpacing/>
    </w:pPr>
  </w:style>
  <w:style w:type="character" w:styleId="Emphasis">
    <w:name w:val="Emphasis"/>
    <w:basedOn w:val="DefaultParagraphFont"/>
    <w:uiPriority w:val="20"/>
    <w:qFormat/>
    <w:rsid w:val="003432AF"/>
    <w:rPr>
      <w:rFonts w:cs="Times New Roman"/>
      <w:i/>
      <w:iCs/>
    </w:rPr>
  </w:style>
  <w:style w:type="paragraph" w:styleId="BalloonText">
    <w:name w:val="Balloon Text"/>
    <w:basedOn w:val="Normal"/>
    <w:link w:val="BalloonTextChar"/>
    <w:uiPriority w:val="99"/>
    <w:semiHidden/>
    <w:unhideWhenUsed/>
    <w:rsid w:val="003432AF"/>
    <w:rPr>
      <w:rFonts w:ascii="Tahoma" w:hAnsi="Tahoma" w:cs="Tahoma"/>
      <w:sz w:val="16"/>
      <w:szCs w:val="16"/>
    </w:rPr>
  </w:style>
  <w:style w:type="character" w:customStyle="1" w:styleId="BalloonTextChar">
    <w:name w:val="Balloon Text Char"/>
    <w:basedOn w:val="DefaultParagraphFont"/>
    <w:link w:val="BalloonText"/>
    <w:uiPriority w:val="99"/>
    <w:semiHidden/>
    <w:rsid w:val="003432AF"/>
    <w:rPr>
      <w:rFonts w:ascii="Tahoma" w:hAnsi="Tahoma" w:cs="Tahoma"/>
      <w:sz w:val="16"/>
      <w:szCs w:val="16"/>
    </w:rPr>
  </w:style>
  <w:style w:type="character" w:customStyle="1" w:styleId="st">
    <w:name w:val="st"/>
    <w:basedOn w:val="DefaultParagraphFont"/>
    <w:uiPriority w:val="99"/>
    <w:rsid w:val="003432AF"/>
    <w:rPr>
      <w:rFonts w:cs="Times New Roman"/>
    </w:rPr>
  </w:style>
  <w:style w:type="character" w:customStyle="1" w:styleId="Heading1Char">
    <w:name w:val="Heading 1 Char"/>
    <w:basedOn w:val="DefaultParagraphFont"/>
    <w:link w:val="Heading1"/>
    <w:uiPriority w:val="9"/>
    <w:rsid w:val="001211FE"/>
    <w:rPr>
      <w:rFonts w:ascii="Times New Roman" w:eastAsiaTheme="majorEastAsia" w:hAnsi="Times New Roman" w:cstheme="majorBidi"/>
      <w:b/>
      <w:bCs/>
      <w:sz w:val="32"/>
      <w:szCs w:val="28"/>
      <w:lang w:val="lv-LV"/>
    </w:rPr>
  </w:style>
  <w:style w:type="character" w:customStyle="1" w:styleId="cspklasifikatorscodename">
    <w:name w:val="csp_klasifikators_code_name"/>
    <w:basedOn w:val="DefaultParagraphFont"/>
    <w:rsid w:val="00B17721"/>
  </w:style>
  <w:style w:type="paragraph" w:styleId="NormalWeb">
    <w:name w:val="Normal (Web)"/>
    <w:aliases w:val="sākums"/>
    <w:basedOn w:val="Normal"/>
    <w:uiPriority w:val="99"/>
    <w:unhideWhenUsed/>
    <w:rsid w:val="005627CE"/>
    <w:pPr>
      <w:spacing w:before="100" w:beforeAutospacing="1" w:after="100" w:afterAutospacing="1"/>
      <w:ind w:firstLine="0"/>
      <w:jc w:val="left"/>
    </w:pPr>
    <w:rPr>
      <w:rFonts w:eastAsia="Times New Roman" w:cs="Times New Roman"/>
      <w:sz w:val="24"/>
      <w:szCs w:val="24"/>
      <w:lang w:eastAsia="lv-LV"/>
    </w:rPr>
  </w:style>
  <w:style w:type="paragraph" w:styleId="FootnoteText">
    <w:name w:val="footnote text"/>
    <w:aliases w:val="Footnote,Fußnote,Schriftart: 9 pt,Schriftart: 10 pt,Schriftart: 8 pt,WB-Fußnotentext,WB-Fußnotentext Char Char,WB-Fußnotentext Char,stile 1,Footnote1,Footnote2,Footnote3,Footnote4,Footnote5,Footnote6,Footnote7,Footnote8,Footnote9,fn,FT"/>
    <w:basedOn w:val="Normal"/>
    <w:link w:val="FootnoteTextChar"/>
    <w:uiPriority w:val="99"/>
    <w:unhideWhenUsed/>
    <w:rsid w:val="00765075"/>
    <w:pPr>
      <w:ind w:firstLine="0"/>
      <w:jc w:val="left"/>
    </w:pPr>
    <w:rPr>
      <w:rFonts w:ascii="Calibri" w:eastAsia="Times New Roman" w:hAnsi="Calibri" w:cs="Times New Roman"/>
      <w:sz w:val="20"/>
      <w:szCs w:val="20"/>
      <w:lang w:val="en-US"/>
    </w:rPr>
  </w:style>
  <w:style w:type="character" w:customStyle="1" w:styleId="FootnoteTextChar">
    <w:name w:val="Footnote Text Char"/>
    <w:aliases w:val="Footnote Char,Fußnote Char,Schriftart: 9 pt Char,Schriftart: 10 pt Char,Schriftart: 8 pt Char,WB-Fußnotentext Char1,WB-Fußnotentext Char Char Char,WB-Fußnotentext Char Char1,stile 1 Char,Footnote1 Char,Footnote2 Char,Footnote3 Char"/>
    <w:basedOn w:val="DefaultParagraphFont"/>
    <w:link w:val="FootnoteText"/>
    <w:uiPriority w:val="99"/>
    <w:rsid w:val="00765075"/>
    <w:rPr>
      <w:rFonts w:ascii="Calibri" w:eastAsia="Times New Roman" w:hAnsi="Calibri" w:cs="Times New Roman"/>
      <w:sz w:val="20"/>
      <w:szCs w:val="20"/>
      <w:lang w:val="en-US"/>
    </w:rPr>
  </w:style>
  <w:style w:type="character" w:styleId="FootnoteReference">
    <w:name w:val="footnote reference"/>
    <w:aliases w:val="Footnote Reference Number,Footnote Reference Superscript,Footnote symbol,fr"/>
    <w:basedOn w:val="DefaultParagraphFont"/>
    <w:uiPriority w:val="99"/>
    <w:unhideWhenUsed/>
    <w:rsid w:val="00765075"/>
    <w:rPr>
      <w:vertAlign w:val="superscript"/>
    </w:rPr>
  </w:style>
  <w:style w:type="character" w:customStyle="1" w:styleId="Heading2Char">
    <w:name w:val="Heading 2 Char"/>
    <w:basedOn w:val="DefaultParagraphFont"/>
    <w:link w:val="Heading2"/>
    <w:uiPriority w:val="9"/>
    <w:rsid w:val="00EE67B7"/>
    <w:rPr>
      <w:rFonts w:ascii="Times New Roman" w:eastAsiaTheme="majorEastAsia" w:hAnsi="Times New Roman" w:cstheme="majorBidi"/>
      <w:b/>
      <w:bCs/>
      <w:sz w:val="28"/>
      <w:szCs w:val="26"/>
      <w:lang w:val="lv-LV"/>
    </w:rPr>
  </w:style>
  <w:style w:type="table" w:styleId="TableGrid">
    <w:name w:val="Table Grid"/>
    <w:basedOn w:val="TableNormal"/>
    <w:uiPriority w:val="59"/>
    <w:rsid w:val="00330B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ksts11">
    <w:name w:val="Taksts_11"/>
    <w:basedOn w:val="Normal"/>
    <w:rsid w:val="00330B6F"/>
    <w:pPr>
      <w:ind w:firstLine="567"/>
    </w:pPr>
    <w:rPr>
      <w:rFonts w:eastAsia="Times New Roman" w:cs="Times New Roman"/>
      <w:sz w:val="24"/>
      <w:szCs w:val="20"/>
      <w:lang w:val="en-US"/>
    </w:rPr>
  </w:style>
  <w:style w:type="paragraph" w:styleId="Header">
    <w:name w:val="header"/>
    <w:basedOn w:val="Normal"/>
    <w:link w:val="HeaderChar"/>
    <w:uiPriority w:val="99"/>
    <w:unhideWhenUsed/>
    <w:rsid w:val="00D32C70"/>
    <w:pPr>
      <w:tabs>
        <w:tab w:val="center" w:pos="4153"/>
        <w:tab w:val="right" w:pos="8306"/>
      </w:tabs>
    </w:pPr>
  </w:style>
  <w:style w:type="character" w:customStyle="1" w:styleId="HeaderChar">
    <w:name w:val="Header Char"/>
    <w:basedOn w:val="DefaultParagraphFont"/>
    <w:link w:val="Header"/>
    <w:uiPriority w:val="99"/>
    <w:rsid w:val="00D32C70"/>
    <w:rPr>
      <w:rFonts w:ascii="Times New Roman" w:hAnsi="Times New Roman"/>
      <w:sz w:val="28"/>
      <w:lang w:val="lv-LV"/>
    </w:rPr>
  </w:style>
  <w:style w:type="paragraph" w:styleId="Footer">
    <w:name w:val="footer"/>
    <w:basedOn w:val="Normal"/>
    <w:link w:val="FooterChar"/>
    <w:uiPriority w:val="99"/>
    <w:unhideWhenUsed/>
    <w:rsid w:val="00D32C70"/>
    <w:pPr>
      <w:tabs>
        <w:tab w:val="center" w:pos="4153"/>
        <w:tab w:val="right" w:pos="8306"/>
      </w:tabs>
    </w:pPr>
  </w:style>
  <w:style w:type="character" w:customStyle="1" w:styleId="FooterChar">
    <w:name w:val="Footer Char"/>
    <w:basedOn w:val="DefaultParagraphFont"/>
    <w:link w:val="Footer"/>
    <w:uiPriority w:val="99"/>
    <w:rsid w:val="00D32C70"/>
    <w:rPr>
      <w:rFonts w:ascii="Times New Roman" w:hAnsi="Times New Roman"/>
      <w:sz w:val="28"/>
      <w:lang w:val="lv-LV"/>
    </w:rPr>
  </w:style>
  <w:style w:type="paragraph" w:styleId="TOCHeading">
    <w:name w:val="TOC Heading"/>
    <w:basedOn w:val="Heading1"/>
    <w:next w:val="Normal"/>
    <w:uiPriority w:val="39"/>
    <w:semiHidden/>
    <w:unhideWhenUsed/>
    <w:qFormat/>
    <w:rsid w:val="00B35A12"/>
    <w:pPr>
      <w:numPr>
        <w:numId w:val="0"/>
      </w:numPr>
      <w:spacing w:before="480" w:after="0" w:line="276" w:lineRule="auto"/>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rsid w:val="002B75CD"/>
    <w:pPr>
      <w:tabs>
        <w:tab w:val="left" w:pos="709"/>
        <w:tab w:val="right" w:leader="dot" w:pos="9174"/>
      </w:tabs>
      <w:spacing w:before="120" w:after="120"/>
      <w:jc w:val="left"/>
    </w:pPr>
    <w:rPr>
      <w:rFonts w:asciiTheme="minorHAnsi" w:hAnsiTheme="minorHAnsi" w:cstheme="minorHAnsi"/>
      <w:b/>
      <w:bCs/>
      <w:caps/>
      <w:sz w:val="20"/>
      <w:szCs w:val="20"/>
    </w:rPr>
  </w:style>
  <w:style w:type="character" w:styleId="Hyperlink">
    <w:name w:val="Hyperlink"/>
    <w:basedOn w:val="DefaultParagraphFont"/>
    <w:uiPriority w:val="99"/>
    <w:unhideWhenUsed/>
    <w:rsid w:val="00B35A12"/>
    <w:rPr>
      <w:color w:val="0000FF" w:themeColor="hyperlink"/>
      <w:u w:val="single"/>
    </w:rPr>
  </w:style>
  <w:style w:type="paragraph" w:styleId="TOC2">
    <w:name w:val="toc 2"/>
    <w:basedOn w:val="Normal"/>
    <w:next w:val="Normal"/>
    <w:autoRedefine/>
    <w:uiPriority w:val="39"/>
    <w:unhideWhenUsed/>
    <w:rsid w:val="00B35A12"/>
    <w:pPr>
      <w:ind w:left="280"/>
      <w:jc w:val="left"/>
    </w:pPr>
    <w:rPr>
      <w:rFonts w:asciiTheme="minorHAnsi" w:hAnsiTheme="minorHAnsi" w:cstheme="minorHAnsi"/>
      <w:smallCaps/>
      <w:sz w:val="20"/>
      <w:szCs w:val="20"/>
    </w:rPr>
  </w:style>
  <w:style w:type="paragraph" w:styleId="TOC3">
    <w:name w:val="toc 3"/>
    <w:basedOn w:val="Normal"/>
    <w:next w:val="Normal"/>
    <w:autoRedefine/>
    <w:uiPriority w:val="39"/>
    <w:unhideWhenUsed/>
    <w:rsid w:val="00B35A12"/>
    <w:pPr>
      <w:ind w:left="560"/>
      <w:jc w:val="left"/>
    </w:pPr>
    <w:rPr>
      <w:rFonts w:asciiTheme="minorHAnsi" w:hAnsiTheme="minorHAnsi" w:cstheme="minorHAnsi"/>
      <w:i/>
      <w:iCs/>
      <w:sz w:val="20"/>
      <w:szCs w:val="20"/>
    </w:rPr>
  </w:style>
  <w:style w:type="paragraph" w:styleId="TOC4">
    <w:name w:val="toc 4"/>
    <w:basedOn w:val="Normal"/>
    <w:next w:val="Normal"/>
    <w:autoRedefine/>
    <w:uiPriority w:val="39"/>
    <w:unhideWhenUsed/>
    <w:rsid w:val="00B35A12"/>
    <w:pPr>
      <w:ind w:left="840"/>
      <w:jc w:val="left"/>
    </w:pPr>
    <w:rPr>
      <w:rFonts w:asciiTheme="minorHAnsi" w:hAnsiTheme="minorHAnsi" w:cstheme="minorHAnsi"/>
      <w:sz w:val="18"/>
      <w:szCs w:val="18"/>
    </w:rPr>
  </w:style>
  <w:style w:type="paragraph" w:styleId="TOC5">
    <w:name w:val="toc 5"/>
    <w:basedOn w:val="Normal"/>
    <w:next w:val="Normal"/>
    <w:autoRedefine/>
    <w:uiPriority w:val="39"/>
    <w:unhideWhenUsed/>
    <w:rsid w:val="00B35A12"/>
    <w:pPr>
      <w:ind w:left="1120"/>
      <w:jc w:val="left"/>
    </w:pPr>
    <w:rPr>
      <w:rFonts w:asciiTheme="minorHAnsi" w:hAnsiTheme="minorHAnsi" w:cstheme="minorHAnsi"/>
      <w:sz w:val="18"/>
      <w:szCs w:val="18"/>
    </w:rPr>
  </w:style>
  <w:style w:type="paragraph" w:styleId="TOC6">
    <w:name w:val="toc 6"/>
    <w:basedOn w:val="Normal"/>
    <w:next w:val="Normal"/>
    <w:autoRedefine/>
    <w:uiPriority w:val="39"/>
    <w:unhideWhenUsed/>
    <w:rsid w:val="00B35A12"/>
    <w:pPr>
      <w:ind w:left="1400"/>
      <w:jc w:val="left"/>
    </w:pPr>
    <w:rPr>
      <w:rFonts w:asciiTheme="minorHAnsi" w:hAnsiTheme="minorHAnsi" w:cstheme="minorHAnsi"/>
      <w:sz w:val="18"/>
      <w:szCs w:val="18"/>
    </w:rPr>
  </w:style>
  <w:style w:type="paragraph" w:styleId="TOC7">
    <w:name w:val="toc 7"/>
    <w:basedOn w:val="Normal"/>
    <w:next w:val="Normal"/>
    <w:autoRedefine/>
    <w:uiPriority w:val="39"/>
    <w:unhideWhenUsed/>
    <w:rsid w:val="00B35A12"/>
    <w:pPr>
      <w:ind w:left="1680"/>
      <w:jc w:val="left"/>
    </w:pPr>
    <w:rPr>
      <w:rFonts w:asciiTheme="minorHAnsi" w:hAnsiTheme="minorHAnsi" w:cstheme="minorHAnsi"/>
      <w:sz w:val="18"/>
      <w:szCs w:val="18"/>
    </w:rPr>
  </w:style>
  <w:style w:type="paragraph" w:styleId="TOC8">
    <w:name w:val="toc 8"/>
    <w:basedOn w:val="Normal"/>
    <w:next w:val="Normal"/>
    <w:autoRedefine/>
    <w:uiPriority w:val="39"/>
    <w:unhideWhenUsed/>
    <w:rsid w:val="00B35A12"/>
    <w:pPr>
      <w:ind w:left="1960"/>
      <w:jc w:val="left"/>
    </w:pPr>
    <w:rPr>
      <w:rFonts w:asciiTheme="minorHAnsi" w:hAnsiTheme="minorHAnsi" w:cstheme="minorHAnsi"/>
      <w:sz w:val="18"/>
      <w:szCs w:val="18"/>
    </w:rPr>
  </w:style>
  <w:style w:type="paragraph" w:styleId="TOC9">
    <w:name w:val="toc 9"/>
    <w:basedOn w:val="Normal"/>
    <w:next w:val="Normal"/>
    <w:autoRedefine/>
    <w:uiPriority w:val="39"/>
    <w:unhideWhenUsed/>
    <w:rsid w:val="00B35A12"/>
    <w:pPr>
      <w:ind w:left="2240"/>
      <w:jc w:val="left"/>
    </w:pPr>
    <w:rPr>
      <w:rFonts w:asciiTheme="minorHAnsi" w:hAnsiTheme="minorHAnsi" w:cstheme="minorHAnsi"/>
      <w:sz w:val="18"/>
      <w:szCs w:val="18"/>
    </w:rPr>
  </w:style>
  <w:style w:type="paragraph" w:styleId="BodyText">
    <w:name w:val="Body Text"/>
    <w:aliases w:val="OT Body Text,Body,Tekst,Body Text Char Char,Body Text Char Char Char"/>
    <w:basedOn w:val="Normal"/>
    <w:link w:val="BodyTextChar1"/>
    <w:rsid w:val="009245CF"/>
    <w:pPr>
      <w:spacing w:after="120"/>
      <w:ind w:firstLine="0"/>
      <w:jc w:val="left"/>
    </w:pPr>
    <w:rPr>
      <w:rFonts w:eastAsia="Times New Roman" w:cs="Times New Roman"/>
      <w:sz w:val="24"/>
      <w:szCs w:val="24"/>
      <w:lang w:eastAsia="zh-CN"/>
    </w:rPr>
  </w:style>
  <w:style w:type="character" w:customStyle="1" w:styleId="BodyTextChar">
    <w:name w:val="Body Text Char"/>
    <w:basedOn w:val="DefaultParagraphFont"/>
    <w:uiPriority w:val="99"/>
    <w:semiHidden/>
    <w:rsid w:val="009245CF"/>
    <w:rPr>
      <w:rFonts w:ascii="Times New Roman" w:hAnsi="Times New Roman"/>
      <w:sz w:val="28"/>
      <w:lang w:val="lv-LV"/>
    </w:rPr>
  </w:style>
  <w:style w:type="character" w:customStyle="1" w:styleId="BodyTextChar1">
    <w:name w:val="Body Text Char1"/>
    <w:aliases w:val="OT Body Text Char,Body Char,Tekst Char,Body Text Char Char Char1,Body Text Char Char Char Char"/>
    <w:basedOn w:val="DefaultParagraphFont"/>
    <w:link w:val="BodyText"/>
    <w:locked/>
    <w:rsid w:val="009245CF"/>
    <w:rPr>
      <w:rFonts w:ascii="Times New Roman" w:eastAsia="Times New Roman" w:hAnsi="Times New Roman" w:cs="Times New Roman"/>
      <w:sz w:val="24"/>
      <w:szCs w:val="24"/>
      <w:lang w:val="lv-LV" w:eastAsia="zh-CN"/>
    </w:rPr>
  </w:style>
  <w:style w:type="character" w:customStyle="1" w:styleId="Heading3Char">
    <w:name w:val="Heading 3 Char"/>
    <w:basedOn w:val="DefaultParagraphFont"/>
    <w:link w:val="Heading3"/>
    <w:uiPriority w:val="9"/>
    <w:rsid w:val="00E977CD"/>
    <w:rPr>
      <w:rFonts w:ascii="Times New Roman" w:eastAsiaTheme="majorEastAsia" w:hAnsi="Times New Roman" w:cstheme="majorBidi"/>
      <w:b/>
      <w:bCs/>
      <w:sz w:val="28"/>
      <w:lang w:val="lv-LV"/>
    </w:rPr>
  </w:style>
  <w:style w:type="character" w:customStyle="1" w:styleId="ListParagraphChar">
    <w:name w:val="List Paragraph Char"/>
    <w:link w:val="ListParagraph"/>
    <w:uiPriority w:val="34"/>
    <w:locked/>
    <w:rsid w:val="0013098B"/>
    <w:rPr>
      <w:rFonts w:ascii="Times New Roman" w:hAnsi="Times New Roman"/>
      <w:sz w:val="28"/>
      <w:lang w:val="lv-LV"/>
    </w:rPr>
  </w:style>
  <w:style w:type="paragraph" w:customStyle="1" w:styleId="naisc">
    <w:name w:val="naisc"/>
    <w:basedOn w:val="Normal"/>
    <w:rsid w:val="00E264D0"/>
    <w:pPr>
      <w:spacing w:before="100" w:beforeAutospacing="1" w:after="100" w:afterAutospacing="1"/>
      <w:ind w:firstLine="0"/>
      <w:jc w:val="left"/>
    </w:pPr>
    <w:rPr>
      <w:rFonts w:eastAsia="Times New Roman" w:cs="Times New Roman"/>
      <w:sz w:val="24"/>
      <w:szCs w:val="24"/>
      <w:lang w:eastAsia="zh-CN"/>
    </w:rPr>
  </w:style>
  <w:style w:type="paragraph" w:customStyle="1" w:styleId="naisf">
    <w:name w:val="naisf"/>
    <w:basedOn w:val="Normal"/>
    <w:rsid w:val="00751236"/>
    <w:pPr>
      <w:spacing w:before="94" w:after="94"/>
      <w:ind w:firstLine="468"/>
    </w:pPr>
    <w:rPr>
      <w:rFonts w:eastAsia="Times New Roman" w:cs="Times New Roman"/>
      <w:sz w:val="24"/>
      <w:szCs w:val="24"/>
      <w:lang w:eastAsia="zh-CN"/>
    </w:rPr>
  </w:style>
  <w:style w:type="character" w:customStyle="1" w:styleId="Heading4Char">
    <w:name w:val="Heading 4 Char"/>
    <w:basedOn w:val="DefaultParagraphFont"/>
    <w:link w:val="Heading4"/>
    <w:uiPriority w:val="9"/>
    <w:rsid w:val="005F6EB4"/>
    <w:rPr>
      <w:rFonts w:ascii="Times New Roman" w:eastAsiaTheme="majorEastAsia" w:hAnsi="Times New Roman" w:cstheme="majorBidi"/>
      <w:b/>
      <w:bCs/>
      <w:i/>
      <w:iCs/>
      <w:sz w:val="28"/>
      <w:lang w:val="lv-LV"/>
    </w:rPr>
  </w:style>
  <w:style w:type="character" w:styleId="CommentReference">
    <w:name w:val="annotation reference"/>
    <w:uiPriority w:val="99"/>
    <w:semiHidden/>
    <w:unhideWhenUsed/>
    <w:rsid w:val="00513847"/>
    <w:rPr>
      <w:sz w:val="16"/>
      <w:szCs w:val="16"/>
    </w:rPr>
  </w:style>
  <w:style w:type="paragraph" w:styleId="CommentText">
    <w:name w:val="annotation text"/>
    <w:basedOn w:val="Normal"/>
    <w:link w:val="CommentTextChar"/>
    <w:uiPriority w:val="99"/>
    <w:semiHidden/>
    <w:unhideWhenUsed/>
    <w:rsid w:val="00513847"/>
    <w:pPr>
      <w:spacing w:after="200" w:line="276" w:lineRule="auto"/>
      <w:ind w:firstLine="0"/>
      <w:jc w:val="left"/>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513847"/>
    <w:rPr>
      <w:rFonts w:ascii="Calibri" w:eastAsia="Calibri" w:hAnsi="Calibri" w:cs="Times New Roman"/>
      <w:sz w:val="20"/>
      <w:szCs w:val="20"/>
      <w:lang w:val="lv-LV"/>
    </w:rPr>
  </w:style>
  <w:style w:type="character" w:customStyle="1" w:styleId="hps">
    <w:name w:val="hps"/>
    <w:basedOn w:val="DefaultParagraphFont"/>
    <w:rsid w:val="006505C1"/>
  </w:style>
  <w:style w:type="paragraph" w:customStyle="1" w:styleId="9pirmstab3">
    <w:name w:val="9_pirms_tab_3"/>
    <w:basedOn w:val="Normal"/>
    <w:rsid w:val="003C7A03"/>
    <w:pPr>
      <w:tabs>
        <w:tab w:val="left" w:pos="3259"/>
        <w:tab w:val="left" w:pos="4200"/>
        <w:tab w:val="left" w:pos="5141"/>
        <w:tab w:val="left" w:pos="6082"/>
        <w:tab w:val="left" w:pos="7022"/>
        <w:tab w:val="left" w:pos="7963"/>
        <w:tab w:val="left" w:pos="8870"/>
        <w:tab w:val="left" w:pos="9794"/>
        <w:tab w:val="left" w:pos="10718"/>
        <w:tab w:val="left" w:pos="11659"/>
        <w:tab w:val="left" w:pos="13171"/>
      </w:tabs>
      <w:spacing w:after="60"/>
      <w:ind w:firstLine="0"/>
      <w:jc w:val="center"/>
    </w:pPr>
    <w:rPr>
      <w:rFonts w:eastAsia="Times New Roman" w:cs="Times New Roman"/>
      <w:color w:val="000000"/>
      <w:sz w:val="18"/>
      <w:szCs w:val="20"/>
    </w:rPr>
  </w:style>
  <w:style w:type="paragraph" w:styleId="CommentSubject">
    <w:name w:val="annotation subject"/>
    <w:basedOn w:val="CommentText"/>
    <w:next w:val="CommentText"/>
    <w:link w:val="CommentSubjectChar"/>
    <w:uiPriority w:val="99"/>
    <w:semiHidden/>
    <w:unhideWhenUsed/>
    <w:rsid w:val="00487E77"/>
    <w:pPr>
      <w:spacing w:after="0" w:line="240" w:lineRule="auto"/>
      <w:ind w:firstLine="454"/>
      <w:jc w:val="both"/>
    </w:pPr>
    <w:rPr>
      <w:rFonts w:ascii="Times New Roman" w:eastAsiaTheme="minorHAnsi" w:hAnsi="Times New Roman" w:cstheme="minorBidi"/>
      <w:b/>
      <w:bCs/>
    </w:rPr>
  </w:style>
  <w:style w:type="character" w:customStyle="1" w:styleId="CommentSubjectChar">
    <w:name w:val="Comment Subject Char"/>
    <w:basedOn w:val="CommentTextChar"/>
    <w:link w:val="CommentSubject"/>
    <w:uiPriority w:val="99"/>
    <w:semiHidden/>
    <w:rsid w:val="00487E77"/>
    <w:rPr>
      <w:rFonts w:ascii="Times New Roman" w:eastAsia="Calibri" w:hAnsi="Times New Roman" w:cs="Times New Roman"/>
      <w:b/>
      <w:bCs/>
      <w:sz w:val="20"/>
      <w:szCs w:val="20"/>
      <w:lang w:val="lv-LV"/>
    </w:rPr>
  </w:style>
  <w:style w:type="character" w:styleId="FollowedHyperlink">
    <w:name w:val="FollowedHyperlink"/>
    <w:aliases w:val="Footnote Text Char Char Char,Footnote Text Char1 Char Char Char,Footnote Text Char Char Char Char Char,Footnote Text Char1 Char Char Char Char Char Char Char Char,Footnote Text Char1,Footnote Text Char1 Char Char1 Char Char"/>
    <w:basedOn w:val="DefaultParagraphFont"/>
    <w:uiPriority w:val="99"/>
    <w:rsid w:val="00643AB3"/>
    <w:rPr>
      <w:sz w:val="22"/>
      <w:szCs w:val="22"/>
      <w:lang w:val="en-AU"/>
    </w:rPr>
  </w:style>
  <w:style w:type="table" w:styleId="LightShading-Accent2">
    <w:name w:val="Light Shading Accent 2"/>
    <w:basedOn w:val="TableNormal"/>
    <w:uiPriority w:val="60"/>
    <w:rsid w:val="009B504E"/>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
    <w:name w:val="Light Shading"/>
    <w:basedOn w:val="TableNormal"/>
    <w:uiPriority w:val="60"/>
    <w:rsid w:val="009B504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1">
    <w:name w:val="Medium Shading 1"/>
    <w:basedOn w:val="TableNormal"/>
    <w:uiPriority w:val="63"/>
    <w:rsid w:val="009B504E"/>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List1">
    <w:name w:val="Medium List 1"/>
    <w:basedOn w:val="TableNormal"/>
    <w:uiPriority w:val="65"/>
    <w:rsid w:val="009B504E"/>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Shading2-Accent1">
    <w:name w:val="Medium Shading 2 Accent 1"/>
    <w:basedOn w:val="TableNormal"/>
    <w:uiPriority w:val="64"/>
    <w:rsid w:val="003B5AB9"/>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
    <w:name w:val="Medium Shading 2"/>
    <w:basedOn w:val="TableNormal"/>
    <w:uiPriority w:val="64"/>
    <w:rsid w:val="003B5AB9"/>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2">
    <w:name w:val="Medium List 2"/>
    <w:basedOn w:val="TableNormal"/>
    <w:uiPriority w:val="66"/>
    <w:rsid w:val="003B5AB9"/>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16642">
      <w:bodyDiv w:val="1"/>
      <w:marLeft w:val="0"/>
      <w:marRight w:val="0"/>
      <w:marTop w:val="0"/>
      <w:marBottom w:val="0"/>
      <w:divBdr>
        <w:top w:val="none" w:sz="0" w:space="0" w:color="auto"/>
        <w:left w:val="none" w:sz="0" w:space="0" w:color="auto"/>
        <w:bottom w:val="none" w:sz="0" w:space="0" w:color="auto"/>
        <w:right w:val="none" w:sz="0" w:space="0" w:color="auto"/>
      </w:divBdr>
    </w:div>
    <w:div w:id="1691250829">
      <w:bodyDiv w:val="1"/>
      <w:marLeft w:val="0"/>
      <w:marRight w:val="0"/>
      <w:marTop w:val="0"/>
      <w:marBottom w:val="0"/>
      <w:divBdr>
        <w:top w:val="none" w:sz="0" w:space="0" w:color="auto"/>
        <w:left w:val="none" w:sz="0" w:space="0" w:color="auto"/>
        <w:bottom w:val="none" w:sz="0" w:space="0" w:color="auto"/>
        <w:right w:val="none" w:sz="0" w:space="0" w:color="auto"/>
      </w:divBdr>
    </w:div>
    <w:div w:id="175566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diagramLayout" Target="diagrams/layout1.xml"/><Relationship Id="rId26" Type="http://schemas.openxmlformats.org/officeDocument/2006/relationships/header" Target="header1.xml"/><Relationship Id="rId3" Type="http://schemas.openxmlformats.org/officeDocument/2006/relationships/styles" Target="styles.xml"/><Relationship Id="rId21" Type="http://schemas.microsoft.com/office/2007/relationships/diagramDrawing" Target="diagrams/drawing1.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diagramData" Target="diagrams/data1.xml"/><Relationship Id="rId25" Type="http://schemas.openxmlformats.org/officeDocument/2006/relationships/hyperlink" Target="http://polsis.mk.gov.lv/view.do?id=2003" TargetMode="Externa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diagramColors" Target="diagrams/colors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hyperlink" Target="http://polsis.mk.gov.lv/view.do?id=2003" TargetMode="External"/><Relationship Id="rId32"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hyperlink" Target="http://polsis.mk.gov.lv/LoadAtt/file16856.doc" TargetMode="External"/><Relationship Id="rId28"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diagramQuickStyle" Target="diagrams/quickStyle1.xml"/><Relationship Id="rId31"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hyperlink" Target="http://polsis.mk.gov.lv/LoadAtt/file16856.doc" TargetMode="External"/><Relationship Id="rId27" Type="http://schemas.openxmlformats.org/officeDocument/2006/relationships/footer" Target="footer1.xml"/><Relationship Id="rId30"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8" Type="http://schemas.openxmlformats.org/officeDocument/2006/relationships/hyperlink" Target="http://www.mk.gov.lv/lv/mk/tap/?pid=40270870" TargetMode="External"/><Relationship Id="rId3" Type="http://schemas.openxmlformats.org/officeDocument/2006/relationships/hyperlink" Target="http://www3.weforum.org/docs/WEF_GlobalCompetitivenessReport_2012-13.pdf" TargetMode="External"/><Relationship Id="rId7" Type="http://schemas.openxmlformats.org/officeDocument/2006/relationships/hyperlink" Target="http://www.em.gov.lv/images/modules/items/tsdep/darba_tirgus/EMZino_260612_full.pdf" TargetMode="External"/><Relationship Id="rId2" Type="http://schemas.openxmlformats.org/officeDocument/2006/relationships/hyperlink" Target="http://ec.europa.eu/enterprise/newsroom/cf/_getdocument.cfm?doc_id=7066" TargetMode="External"/><Relationship Id="rId1" Type="http://schemas.openxmlformats.org/officeDocument/2006/relationships/hyperlink" Target="http://www.mk.gov.lv/file/files/ESfondi/2012/latvijas_konkuretspejas_novertejums_final.pdf" TargetMode="External"/><Relationship Id="rId6" Type="http://schemas.openxmlformats.org/officeDocument/2006/relationships/hyperlink" Target="http://eur-lex.europa.eu/LexUriServ/LexUriServ.do?uri=COM:2012:0582:FIN:LV:PDF" TargetMode="External"/><Relationship Id="rId11" Type="http://schemas.openxmlformats.org/officeDocument/2006/relationships/hyperlink" Target="http://en.wikipedia.org/wiki/Critical_success_factor" TargetMode="External"/><Relationship Id="rId5" Type="http://schemas.openxmlformats.org/officeDocument/2006/relationships/hyperlink" Target="http://ec.europa.eu/enterprise/policies/industrial-competitiveness/industrial-policy/future-of-manufacturing/files/key_findings_measuring_and_benchmarking_en.pdf" TargetMode="External"/><Relationship Id="rId10" Type="http://schemas.openxmlformats.org/officeDocument/2006/relationships/hyperlink" Target="http://en.wikipedia.org/wiki/Porter_five_forces_analysis" TargetMode="External"/><Relationship Id="rId4" Type="http://schemas.openxmlformats.org/officeDocument/2006/relationships/hyperlink" Target="http://www.mk.gov.lv/file/files/ESfondi/2012/padzilinata_izpete_precu_telpas_analize_un_strukturalalas_transformacijas_iespejas_latvija_lv.pdf" TargetMode="External"/><Relationship Id="rId9" Type="http://schemas.openxmlformats.org/officeDocument/2006/relationships/hyperlink" Target="http://lvceli.lv/files/Publicejama%20projektu%20dokumentacija/Celu%20stavoklis_2011.pdf"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3.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4.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2910447761194029E-2"/>
          <c:y val="5.6893533079293651E-2"/>
          <c:w val="0.91277909852700356"/>
          <c:h val="0.81869073177687812"/>
        </c:manualLayout>
      </c:layout>
      <c:barChart>
        <c:barDir val="col"/>
        <c:grouping val="clustered"/>
        <c:varyColors val="0"/>
        <c:ser>
          <c:idx val="0"/>
          <c:order val="0"/>
          <c:tx>
            <c:strRef>
              <c:f>Sheet1!$A$2</c:f>
              <c:strCache>
                <c:ptCount val="1"/>
                <c:pt idx="0">
                  <c:v>IKP</c:v>
                </c:pt>
              </c:strCache>
            </c:strRef>
          </c:tx>
          <c:spPr>
            <a:solidFill>
              <a:srgbClr val="9999FF"/>
            </a:solidFill>
            <a:ln w="12705">
              <a:solidFill>
                <a:srgbClr val="000000"/>
              </a:solidFill>
              <a:prstDash val="solid"/>
            </a:ln>
          </c:spPr>
          <c:invertIfNegative val="0"/>
          <c:dLbls>
            <c:dLbl>
              <c:idx val="4"/>
              <c:layout>
                <c:manualLayout>
                  <c:x val="-5.0786084612816085E-3"/>
                  <c:y val="6.2887694391849606E-3"/>
                </c:manualLayout>
              </c:layout>
              <c:showLegendKey val="0"/>
              <c:showVal val="1"/>
              <c:showCatName val="0"/>
              <c:showSerName val="0"/>
              <c:showPercent val="0"/>
              <c:showBubbleSize val="0"/>
            </c:dLbl>
            <c:spPr>
              <a:noFill/>
              <a:ln w="25411">
                <a:noFill/>
              </a:ln>
            </c:spPr>
            <c:txPr>
              <a:bodyPr/>
              <a:lstStyle/>
              <a:p>
                <a:pPr>
                  <a:defRPr sz="900"/>
                </a:pPr>
                <a:endParaRPr lang="lv-LV"/>
              </a:p>
            </c:txPr>
            <c:showLegendKey val="0"/>
            <c:showVal val="1"/>
            <c:showCatName val="0"/>
            <c:showSerName val="0"/>
            <c:showPercent val="0"/>
            <c:showBubbleSize val="0"/>
            <c:showLeaderLines val="0"/>
          </c:dLbls>
          <c:cat>
            <c:numRef>
              <c:f>Sheet1!$B$1:$H$1</c:f>
              <c:numCache>
                <c:formatCode>General</c:formatCode>
                <c:ptCount val="7"/>
                <c:pt idx="0">
                  <c:v>2005</c:v>
                </c:pt>
                <c:pt idx="1">
                  <c:v>2006</c:v>
                </c:pt>
                <c:pt idx="2">
                  <c:v>2007</c:v>
                </c:pt>
                <c:pt idx="3">
                  <c:v>2008</c:v>
                </c:pt>
                <c:pt idx="4">
                  <c:v>2009</c:v>
                </c:pt>
                <c:pt idx="5">
                  <c:v>2010</c:v>
                </c:pt>
                <c:pt idx="6">
                  <c:v>2011</c:v>
                </c:pt>
              </c:numCache>
            </c:numRef>
          </c:cat>
          <c:val>
            <c:numRef>
              <c:f>Sheet1!$B$2:$H$2</c:f>
              <c:numCache>
                <c:formatCode>General</c:formatCode>
                <c:ptCount val="7"/>
                <c:pt idx="0">
                  <c:v>10.1</c:v>
                </c:pt>
                <c:pt idx="1">
                  <c:v>11.2</c:v>
                </c:pt>
                <c:pt idx="2">
                  <c:v>9.6</c:v>
                </c:pt>
                <c:pt idx="3">
                  <c:v>-3.3</c:v>
                </c:pt>
                <c:pt idx="4">
                  <c:v>-17.7</c:v>
                </c:pt>
                <c:pt idx="5">
                  <c:v>-0.9</c:v>
                </c:pt>
                <c:pt idx="6">
                  <c:v>5.5</c:v>
                </c:pt>
              </c:numCache>
            </c:numRef>
          </c:val>
        </c:ser>
        <c:ser>
          <c:idx val="1"/>
          <c:order val="1"/>
          <c:tx>
            <c:strRef>
              <c:f>Sheet1!$A$3</c:f>
              <c:strCache>
                <c:ptCount val="1"/>
                <c:pt idx="0">
                  <c:v>Apstrādes rūpniecība</c:v>
                </c:pt>
              </c:strCache>
            </c:strRef>
          </c:tx>
          <c:spPr>
            <a:solidFill>
              <a:srgbClr val="993366"/>
            </a:solidFill>
            <a:ln w="12705">
              <a:solidFill>
                <a:srgbClr val="000000"/>
              </a:solidFill>
              <a:prstDash val="solid"/>
            </a:ln>
          </c:spPr>
          <c:invertIfNegative val="0"/>
          <c:dLbls>
            <c:dLbl>
              <c:idx val="4"/>
              <c:layout>
                <c:manualLayout>
                  <c:x val="2.5393042306408042E-3"/>
                  <c:y val="6.2892645788935808E-3"/>
                </c:manualLayout>
              </c:layout>
              <c:showLegendKey val="0"/>
              <c:showVal val="1"/>
              <c:showCatName val="0"/>
              <c:showSerName val="0"/>
              <c:showPercent val="0"/>
              <c:showBubbleSize val="0"/>
            </c:dLbl>
            <c:spPr>
              <a:noFill/>
              <a:ln w="25411">
                <a:noFill/>
              </a:ln>
            </c:spPr>
            <c:txPr>
              <a:bodyPr/>
              <a:lstStyle/>
              <a:p>
                <a:pPr>
                  <a:defRPr sz="900"/>
                </a:pPr>
                <a:endParaRPr lang="lv-LV"/>
              </a:p>
            </c:txPr>
            <c:showLegendKey val="0"/>
            <c:showVal val="1"/>
            <c:showCatName val="0"/>
            <c:showSerName val="0"/>
            <c:showPercent val="0"/>
            <c:showBubbleSize val="0"/>
            <c:showLeaderLines val="0"/>
          </c:dLbls>
          <c:cat>
            <c:numRef>
              <c:f>Sheet1!$B$1:$H$1</c:f>
              <c:numCache>
                <c:formatCode>General</c:formatCode>
                <c:ptCount val="7"/>
                <c:pt idx="0">
                  <c:v>2005</c:v>
                </c:pt>
                <c:pt idx="1">
                  <c:v>2006</c:v>
                </c:pt>
                <c:pt idx="2">
                  <c:v>2007</c:v>
                </c:pt>
                <c:pt idx="3">
                  <c:v>2008</c:v>
                </c:pt>
                <c:pt idx="4">
                  <c:v>2009</c:v>
                </c:pt>
                <c:pt idx="5">
                  <c:v>2010</c:v>
                </c:pt>
                <c:pt idx="6">
                  <c:v>2011</c:v>
                </c:pt>
              </c:numCache>
            </c:numRef>
          </c:cat>
          <c:val>
            <c:numRef>
              <c:f>Sheet1!$B$3:$H$3</c:f>
              <c:numCache>
                <c:formatCode>General</c:formatCode>
                <c:ptCount val="7"/>
                <c:pt idx="0">
                  <c:v>5</c:v>
                </c:pt>
                <c:pt idx="1">
                  <c:v>6.4</c:v>
                </c:pt>
                <c:pt idx="2">
                  <c:v>0.8</c:v>
                </c:pt>
                <c:pt idx="3">
                  <c:v>-8.6</c:v>
                </c:pt>
                <c:pt idx="4">
                  <c:v>-17.8</c:v>
                </c:pt>
                <c:pt idx="5">
                  <c:v>19.100000000000001</c:v>
                </c:pt>
                <c:pt idx="6">
                  <c:v>11.7</c:v>
                </c:pt>
              </c:numCache>
            </c:numRef>
          </c:val>
        </c:ser>
        <c:dLbls>
          <c:showLegendKey val="0"/>
          <c:showVal val="1"/>
          <c:showCatName val="0"/>
          <c:showSerName val="0"/>
          <c:showPercent val="0"/>
          <c:showBubbleSize val="0"/>
        </c:dLbls>
        <c:gapWidth val="40"/>
        <c:axId val="78715520"/>
        <c:axId val="78717312"/>
      </c:barChart>
      <c:catAx>
        <c:axId val="78715520"/>
        <c:scaling>
          <c:orientation val="minMax"/>
        </c:scaling>
        <c:delete val="0"/>
        <c:axPos val="b"/>
        <c:numFmt formatCode="General" sourceLinked="1"/>
        <c:majorTickMark val="out"/>
        <c:minorTickMark val="none"/>
        <c:tickLblPos val="low"/>
        <c:txPr>
          <a:bodyPr rot="0" vert="horz"/>
          <a:lstStyle/>
          <a:p>
            <a:pPr>
              <a:defRPr/>
            </a:pPr>
            <a:endParaRPr lang="lv-LV"/>
          </a:p>
        </c:txPr>
        <c:crossAx val="78717312"/>
        <c:crosses val="autoZero"/>
        <c:auto val="1"/>
        <c:lblAlgn val="ctr"/>
        <c:lblOffset val="0"/>
        <c:tickLblSkip val="1"/>
        <c:tickMarkSkip val="1"/>
        <c:noMultiLvlLbl val="0"/>
      </c:catAx>
      <c:valAx>
        <c:axId val="78717312"/>
        <c:scaling>
          <c:orientation val="minMax"/>
          <c:max val="20"/>
          <c:min val="-30"/>
        </c:scaling>
        <c:delete val="0"/>
        <c:axPos val="l"/>
        <c:numFmt formatCode="General" sourceLinked="1"/>
        <c:majorTickMark val="out"/>
        <c:minorTickMark val="none"/>
        <c:tickLblPos val="nextTo"/>
        <c:txPr>
          <a:bodyPr rot="0" vert="horz"/>
          <a:lstStyle/>
          <a:p>
            <a:pPr>
              <a:defRPr/>
            </a:pPr>
            <a:endParaRPr lang="lv-LV"/>
          </a:p>
        </c:txPr>
        <c:crossAx val="78715520"/>
        <c:crosses val="autoZero"/>
        <c:crossBetween val="between"/>
        <c:majorUnit val="10"/>
      </c:valAx>
      <c:spPr>
        <a:noFill/>
        <a:ln w="12705">
          <a:noFill/>
          <a:prstDash val="solid"/>
        </a:ln>
      </c:spPr>
    </c:plotArea>
    <c:legend>
      <c:legendPos val="b"/>
      <c:layout>
        <c:manualLayout>
          <c:xMode val="edge"/>
          <c:yMode val="edge"/>
          <c:x val="0.11489931758698117"/>
          <c:y val="0.50814242559302725"/>
          <c:w val="0.2774843692828165"/>
          <c:h val="0.18701773392380394"/>
        </c:manualLayout>
      </c:layout>
      <c:overlay val="0"/>
      <c:spPr>
        <a:noFill/>
        <a:ln w="3176">
          <a:noFill/>
          <a:prstDash val="solid"/>
        </a:ln>
      </c:spPr>
    </c:legend>
    <c:plotVisOnly val="1"/>
    <c:dispBlanksAs val="gap"/>
    <c:showDLblsOverMax val="0"/>
  </c:chart>
  <c:spPr>
    <a:noFill/>
    <a:ln>
      <a:noFill/>
    </a:ln>
  </c:spPr>
  <c:txPr>
    <a:bodyPr/>
    <a:lstStyle/>
    <a:p>
      <a:pPr>
        <a:defRPr sz="1000" b="0" i="0" u="none" strike="noStrike" baseline="0">
          <a:solidFill>
            <a:srgbClr val="000000"/>
          </a:solidFill>
          <a:latin typeface="Times New Roman" pitchFamily="18" charset="0"/>
          <a:ea typeface="Arial"/>
          <a:cs typeface="Times New Roman" pitchFamily="18" charset="0"/>
        </a:defRPr>
      </a:pPr>
      <a:endParaRPr lang="lv-LV"/>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79551667740644"/>
          <c:y val="5.2350041651040222E-2"/>
          <c:w val="0.70834358531338881"/>
          <c:h val="0.83608198325858618"/>
        </c:manualLayout>
      </c:layout>
      <c:pieChart>
        <c:varyColors val="1"/>
        <c:ser>
          <c:idx val="0"/>
          <c:order val="0"/>
          <c:tx>
            <c:strRef>
              <c:f>Sheet1!$B$1</c:f>
              <c:strCache>
                <c:ptCount val="1"/>
                <c:pt idx="0">
                  <c:v>1997</c:v>
                </c:pt>
              </c:strCache>
            </c:strRef>
          </c:tx>
          <c:spPr>
            <a:ln w="6350">
              <a:solidFill>
                <a:sysClr val="windowText" lastClr="000000"/>
              </a:solidFill>
            </a:ln>
          </c:spPr>
          <c:explosion val="5"/>
          <c:dPt>
            <c:idx val="0"/>
            <c:bubble3D val="0"/>
            <c:spPr>
              <a:solidFill>
                <a:srgbClr val="EEECE1">
                  <a:lumMod val="90000"/>
                </a:srgbClr>
              </a:solidFill>
              <a:ln w="6350">
                <a:solidFill>
                  <a:sysClr val="windowText" lastClr="000000"/>
                </a:solidFill>
              </a:ln>
            </c:spPr>
          </c:dPt>
          <c:dPt>
            <c:idx val="1"/>
            <c:bubble3D val="0"/>
            <c:spPr>
              <a:solidFill>
                <a:srgbClr val="EEECE1">
                  <a:lumMod val="75000"/>
                </a:srgbClr>
              </a:solidFill>
              <a:ln w="6350">
                <a:solidFill>
                  <a:sysClr val="windowText" lastClr="000000"/>
                </a:solidFill>
              </a:ln>
            </c:spPr>
          </c:dPt>
          <c:dPt>
            <c:idx val="2"/>
            <c:bubble3D val="0"/>
            <c:spPr>
              <a:solidFill>
                <a:srgbClr val="FF0000"/>
              </a:solidFill>
              <a:ln w="6350">
                <a:solidFill>
                  <a:sysClr val="windowText" lastClr="000000"/>
                </a:solidFill>
              </a:ln>
            </c:spPr>
          </c:dPt>
          <c:dPt>
            <c:idx val="3"/>
            <c:bubble3D val="0"/>
            <c:spPr>
              <a:solidFill>
                <a:srgbClr val="800000"/>
              </a:solidFill>
              <a:ln w="6350">
                <a:solidFill>
                  <a:sysClr val="windowText" lastClr="000000"/>
                </a:solidFill>
              </a:ln>
            </c:spPr>
          </c:dPt>
          <c:dPt>
            <c:idx val="4"/>
            <c:bubble3D val="0"/>
            <c:spPr>
              <a:solidFill>
                <a:srgbClr val="EEECE1">
                  <a:lumMod val="90000"/>
                </a:srgbClr>
              </a:solidFill>
              <a:ln w="6350">
                <a:solidFill>
                  <a:sysClr val="windowText" lastClr="000000"/>
                </a:solidFill>
              </a:ln>
            </c:spPr>
          </c:dPt>
          <c:dPt>
            <c:idx val="5"/>
            <c:bubble3D val="0"/>
            <c:spPr>
              <a:solidFill>
                <a:srgbClr val="EEECE1"/>
              </a:solidFill>
              <a:ln w="6350">
                <a:solidFill>
                  <a:sysClr val="windowText" lastClr="000000"/>
                </a:solidFill>
              </a:ln>
            </c:spPr>
          </c:dPt>
          <c:dLbls>
            <c:dLbl>
              <c:idx val="0"/>
              <c:layout>
                <c:manualLayout>
                  <c:x val="-2.5163388656463274E-2"/>
                  <c:y val="5.630780908360998E-2"/>
                </c:manualLayout>
              </c:layout>
              <c:dLblPos val="bestFit"/>
              <c:showLegendKey val="0"/>
              <c:showVal val="0"/>
              <c:showCatName val="0"/>
              <c:showSerName val="0"/>
              <c:showPercent val="1"/>
              <c:showBubbleSize val="0"/>
            </c:dLbl>
            <c:txPr>
              <a:bodyPr/>
              <a:lstStyle/>
              <a:p>
                <a:pPr>
                  <a:defRPr sz="900" b="0">
                    <a:solidFill>
                      <a:schemeClr val="tx1"/>
                    </a:solidFill>
                    <a:latin typeface="Times New Roman" pitchFamily="18" charset="0"/>
                    <a:cs typeface="Times New Roman" pitchFamily="18" charset="0"/>
                  </a:defRPr>
                </a:pPr>
                <a:endParaRPr lang="lv-LV"/>
              </a:p>
            </c:txPr>
            <c:dLblPos val="outEnd"/>
            <c:showLegendKey val="0"/>
            <c:showVal val="0"/>
            <c:showCatName val="0"/>
            <c:showSerName val="0"/>
            <c:showPercent val="1"/>
            <c:showBubbleSize val="0"/>
            <c:showLeaderLines val="0"/>
          </c:dLbls>
          <c:cat>
            <c:strRef>
              <c:f>Sheet1!$A$2:$A$5</c:f>
              <c:strCache>
                <c:ptCount val="4"/>
                <c:pt idx="0">
                  <c:v>Augsto tehnoloģiju nozares</c:v>
                </c:pt>
                <c:pt idx="1">
                  <c:v>Vidēji augsto tehnoloģiju nozares</c:v>
                </c:pt>
                <c:pt idx="2">
                  <c:v>Vidēji zemo tehnoloģiju nozares</c:v>
                </c:pt>
                <c:pt idx="3">
                  <c:v>Zemo tehnoloģiju nozares</c:v>
                </c:pt>
              </c:strCache>
            </c:strRef>
          </c:cat>
          <c:val>
            <c:numRef>
              <c:f>Sheet1!$B$2:$B$5</c:f>
              <c:numCache>
                <c:formatCode>0</c:formatCode>
                <c:ptCount val="4"/>
                <c:pt idx="0" formatCode="0.0">
                  <c:v>4.5</c:v>
                </c:pt>
                <c:pt idx="1">
                  <c:v>11</c:v>
                </c:pt>
                <c:pt idx="2">
                  <c:v>16.2</c:v>
                </c:pt>
                <c:pt idx="3">
                  <c:v>68.3</c:v>
                </c:pt>
              </c:numCache>
            </c:numRef>
          </c:val>
        </c:ser>
        <c:dLbls>
          <c:showLegendKey val="0"/>
          <c:showVal val="0"/>
          <c:showCatName val="0"/>
          <c:showSerName val="0"/>
          <c:showPercent val="0"/>
          <c:showBubbleSize val="0"/>
          <c:showLeaderLines val="0"/>
        </c:dLbls>
        <c:firstSliceAng val="0"/>
      </c:pieChart>
    </c:plotArea>
    <c:plotVisOnly val="1"/>
    <c:dispBlanksAs val="zero"/>
    <c:showDLblsOverMax val="0"/>
  </c:chart>
  <c:spPr>
    <a:ln>
      <a:noFill/>
    </a:ln>
  </c:spPr>
  <c:txPr>
    <a:bodyPr/>
    <a:lstStyle/>
    <a:p>
      <a:pPr>
        <a:defRPr sz="1800"/>
      </a:pPr>
      <a:endParaRPr lang="lv-LV"/>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5241186067957728E-2"/>
          <c:y val="0.11291222958363685"/>
          <c:w val="0.60767053955389116"/>
          <c:h val="0.82182755789887485"/>
        </c:manualLayout>
      </c:layout>
      <c:pieChart>
        <c:varyColors val="1"/>
        <c:ser>
          <c:idx val="0"/>
          <c:order val="0"/>
          <c:tx>
            <c:strRef>
              <c:f>Sheet1!$B$1</c:f>
              <c:strCache>
                <c:ptCount val="1"/>
                <c:pt idx="0">
                  <c:v>2010</c:v>
                </c:pt>
              </c:strCache>
            </c:strRef>
          </c:tx>
          <c:spPr>
            <a:ln w="6350">
              <a:solidFill>
                <a:sysClr val="windowText" lastClr="000000"/>
              </a:solidFill>
            </a:ln>
          </c:spPr>
          <c:explosion val="5"/>
          <c:dPt>
            <c:idx val="0"/>
            <c:bubble3D val="0"/>
            <c:spPr>
              <a:solidFill>
                <a:srgbClr val="EEECE1">
                  <a:lumMod val="90000"/>
                </a:srgbClr>
              </a:solidFill>
              <a:ln w="6350">
                <a:solidFill>
                  <a:sysClr val="windowText" lastClr="000000"/>
                </a:solidFill>
              </a:ln>
            </c:spPr>
          </c:dPt>
          <c:dPt>
            <c:idx val="1"/>
            <c:bubble3D val="0"/>
            <c:spPr>
              <a:solidFill>
                <a:srgbClr val="EEECE1">
                  <a:lumMod val="75000"/>
                </a:srgbClr>
              </a:solidFill>
              <a:ln w="6350">
                <a:solidFill>
                  <a:sysClr val="windowText" lastClr="000000"/>
                </a:solidFill>
              </a:ln>
            </c:spPr>
          </c:dPt>
          <c:dPt>
            <c:idx val="2"/>
            <c:bubble3D val="0"/>
            <c:spPr>
              <a:solidFill>
                <a:srgbClr val="FF0000"/>
              </a:solidFill>
              <a:ln w="6350">
                <a:solidFill>
                  <a:sysClr val="windowText" lastClr="000000"/>
                </a:solidFill>
              </a:ln>
            </c:spPr>
          </c:dPt>
          <c:dPt>
            <c:idx val="3"/>
            <c:bubble3D val="0"/>
            <c:spPr>
              <a:solidFill>
                <a:srgbClr val="800000"/>
              </a:solidFill>
              <a:ln w="6350">
                <a:solidFill>
                  <a:sysClr val="windowText" lastClr="000000"/>
                </a:solidFill>
              </a:ln>
            </c:spPr>
          </c:dPt>
          <c:dPt>
            <c:idx val="4"/>
            <c:bubble3D val="0"/>
            <c:spPr>
              <a:solidFill>
                <a:srgbClr val="EEECE1">
                  <a:lumMod val="90000"/>
                </a:srgbClr>
              </a:solidFill>
              <a:ln w="6350">
                <a:solidFill>
                  <a:sysClr val="windowText" lastClr="000000"/>
                </a:solidFill>
              </a:ln>
            </c:spPr>
          </c:dPt>
          <c:dPt>
            <c:idx val="5"/>
            <c:bubble3D val="0"/>
            <c:spPr>
              <a:solidFill>
                <a:srgbClr val="EEECE1"/>
              </a:solidFill>
              <a:ln w="6350">
                <a:solidFill>
                  <a:sysClr val="windowText" lastClr="000000"/>
                </a:solidFill>
              </a:ln>
            </c:spPr>
          </c:dPt>
          <c:dLbls>
            <c:dLbl>
              <c:idx val="0"/>
              <c:layout>
                <c:manualLayout>
                  <c:x val="0"/>
                  <c:y val="1.1747430249632896E-2"/>
                </c:manualLayout>
              </c:layout>
              <c:dLblPos val="bestFit"/>
              <c:showLegendKey val="0"/>
              <c:showVal val="0"/>
              <c:showCatName val="0"/>
              <c:showSerName val="0"/>
              <c:showPercent val="1"/>
              <c:showBubbleSize val="0"/>
            </c:dLbl>
            <c:txPr>
              <a:bodyPr/>
              <a:lstStyle/>
              <a:p>
                <a:pPr>
                  <a:defRPr sz="900" b="0">
                    <a:solidFill>
                      <a:schemeClr val="tx1"/>
                    </a:solidFill>
                    <a:latin typeface="Times New Roman" pitchFamily="18" charset="0"/>
                    <a:cs typeface="Times New Roman" pitchFamily="18" charset="0"/>
                  </a:defRPr>
                </a:pPr>
                <a:endParaRPr lang="lv-LV"/>
              </a:p>
            </c:txPr>
            <c:dLblPos val="outEnd"/>
            <c:showLegendKey val="0"/>
            <c:showVal val="0"/>
            <c:showCatName val="0"/>
            <c:showSerName val="0"/>
            <c:showPercent val="1"/>
            <c:showBubbleSize val="0"/>
            <c:showLeaderLines val="0"/>
          </c:dLbls>
          <c:cat>
            <c:strRef>
              <c:f>Sheet1!$A$2:$A$5</c:f>
              <c:strCache>
                <c:ptCount val="4"/>
                <c:pt idx="0">
                  <c:v>Augsto tehnoloģiju nozares</c:v>
                </c:pt>
                <c:pt idx="1">
                  <c:v>Vidēji augsto tehnoloģiju nozares</c:v>
                </c:pt>
                <c:pt idx="2">
                  <c:v>Vidēji zemo tehnoloģiju nozares</c:v>
                </c:pt>
                <c:pt idx="3">
                  <c:v>Zemo tehnoloģiju nozares</c:v>
                </c:pt>
              </c:strCache>
            </c:strRef>
          </c:cat>
          <c:val>
            <c:numRef>
              <c:f>Sheet1!$B$2:$B$5</c:f>
              <c:numCache>
                <c:formatCode>0</c:formatCode>
                <c:ptCount val="4"/>
                <c:pt idx="0" formatCode="0.0">
                  <c:v>5.9</c:v>
                </c:pt>
                <c:pt idx="1">
                  <c:v>12.1</c:v>
                </c:pt>
                <c:pt idx="2">
                  <c:v>22</c:v>
                </c:pt>
                <c:pt idx="3">
                  <c:v>60</c:v>
                </c:pt>
              </c:numCache>
            </c:numRef>
          </c:val>
        </c:ser>
        <c:dLbls>
          <c:showLegendKey val="0"/>
          <c:showVal val="0"/>
          <c:showCatName val="0"/>
          <c:showSerName val="0"/>
          <c:showPercent val="0"/>
          <c:showBubbleSize val="0"/>
          <c:showLeaderLines val="0"/>
        </c:dLbls>
        <c:firstSliceAng val="0"/>
      </c:pieChart>
    </c:plotArea>
    <c:legend>
      <c:legendPos val="r"/>
      <c:overlay val="0"/>
      <c:txPr>
        <a:bodyPr/>
        <a:lstStyle/>
        <a:p>
          <a:pPr>
            <a:defRPr sz="900">
              <a:latin typeface="Times New Roman" pitchFamily="18" charset="0"/>
              <a:cs typeface="Times New Roman" pitchFamily="18" charset="0"/>
            </a:defRPr>
          </a:pPr>
          <a:endParaRPr lang="lv-LV"/>
        </a:p>
      </c:txPr>
    </c:legend>
    <c:plotVisOnly val="1"/>
    <c:dispBlanksAs val="zero"/>
    <c:showDLblsOverMax val="0"/>
  </c:chart>
  <c:spPr>
    <a:ln>
      <a:noFill/>
    </a:ln>
  </c:spPr>
  <c:txPr>
    <a:bodyPr/>
    <a:lstStyle/>
    <a:p>
      <a:pPr>
        <a:defRPr sz="1800"/>
      </a:pPr>
      <a:endParaRPr lang="lv-LV"/>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2910447761194029E-2"/>
          <c:y val="5.8246944444444441E-2"/>
          <c:w val="0.91277909852700356"/>
          <c:h val="0.84203166666666662"/>
        </c:manualLayout>
      </c:layout>
      <c:barChart>
        <c:barDir val="col"/>
        <c:grouping val="clustered"/>
        <c:varyColors val="0"/>
        <c:ser>
          <c:idx val="1"/>
          <c:order val="0"/>
          <c:tx>
            <c:strRef>
              <c:f>Sheet1!$A$2</c:f>
              <c:strCache>
                <c:ptCount val="1"/>
                <c:pt idx="0">
                  <c:v>Latvija</c:v>
                </c:pt>
              </c:strCache>
            </c:strRef>
          </c:tx>
          <c:spPr>
            <a:solidFill>
              <a:srgbClr val="C00000"/>
            </a:solidFill>
            <a:ln w="12705">
              <a:solidFill>
                <a:srgbClr val="000000"/>
              </a:solidFill>
              <a:prstDash val="solid"/>
            </a:ln>
          </c:spPr>
          <c:invertIfNegative val="0"/>
          <c:dLbls>
            <c:numFmt formatCode="#,##0.0" sourceLinked="0"/>
            <c:showLegendKey val="0"/>
            <c:showVal val="1"/>
            <c:showCatName val="0"/>
            <c:showSerName val="0"/>
            <c:showPercent val="0"/>
            <c:showBubbleSize val="0"/>
            <c:showLeaderLines val="0"/>
          </c:dLbls>
          <c:cat>
            <c:numRef>
              <c:f>Sheet1!$B$1:$H$1</c:f>
              <c:numCache>
                <c:formatCode>General</c:formatCode>
                <c:ptCount val="7"/>
                <c:pt idx="0">
                  <c:v>2005</c:v>
                </c:pt>
                <c:pt idx="1">
                  <c:v>2006</c:v>
                </c:pt>
                <c:pt idx="2">
                  <c:v>2007</c:v>
                </c:pt>
                <c:pt idx="3">
                  <c:v>2008</c:v>
                </c:pt>
                <c:pt idx="4">
                  <c:v>2009</c:v>
                </c:pt>
                <c:pt idx="5">
                  <c:v>2010</c:v>
                </c:pt>
                <c:pt idx="6">
                  <c:v>2011</c:v>
                </c:pt>
              </c:numCache>
            </c:numRef>
          </c:cat>
          <c:val>
            <c:numRef>
              <c:f>Sheet1!$B$2:$H$2</c:f>
              <c:numCache>
                <c:formatCode>General</c:formatCode>
                <c:ptCount val="7"/>
                <c:pt idx="0">
                  <c:v>19.163004615102867</c:v>
                </c:pt>
                <c:pt idx="1">
                  <c:v>20.712311723469909</c:v>
                </c:pt>
                <c:pt idx="2">
                  <c:v>25.645039925551206</c:v>
                </c:pt>
                <c:pt idx="3">
                  <c:v>27.839749425293974</c:v>
                </c:pt>
                <c:pt idx="4">
                  <c:v>30.424649526883325</c:v>
                </c:pt>
                <c:pt idx="5">
                  <c:v>31.825255684102409</c:v>
                </c:pt>
                <c:pt idx="6">
                  <c:v>35</c:v>
                </c:pt>
              </c:numCache>
            </c:numRef>
          </c:val>
        </c:ser>
        <c:dLbls>
          <c:showLegendKey val="0"/>
          <c:showVal val="1"/>
          <c:showCatName val="0"/>
          <c:showSerName val="0"/>
          <c:showPercent val="0"/>
          <c:showBubbleSize val="0"/>
        </c:dLbls>
        <c:gapWidth val="40"/>
        <c:axId val="78740480"/>
        <c:axId val="79193984"/>
      </c:barChart>
      <c:catAx>
        <c:axId val="78740480"/>
        <c:scaling>
          <c:orientation val="minMax"/>
        </c:scaling>
        <c:delete val="0"/>
        <c:axPos val="b"/>
        <c:numFmt formatCode="General" sourceLinked="1"/>
        <c:majorTickMark val="out"/>
        <c:minorTickMark val="none"/>
        <c:tickLblPos val="low"/>
        <c:txPr>
          <a:bodyPr rot="0" vert="horz"/>
          <a:lstStyle/>
          <a:p>
            <a:pPr>
              <a:defRPr/>
            </a:pPr>
            <a:endParaRPr lang="lv-LV"/>
          </a:p>
        </c:txPr>
        <c:crossAx val="79193984"/>
        <c:crosses val="autoZero"/>
        <c:auto val="1"/>
        <c:lblAlgn val="ctr"/>
        <c:lblOffset val="100"/>
        <c:tickLblSkip val="1"/>
        <c:tickMarkSkip val="1"/>
        <c:noMultiLvlLbl val="0"/>
      </c:catAx>
      <c:valAx>
        <c:axId val="79193984"/>
        <c:scaling>
          <c:orientation val="minMax"/>
          <c:max val="42"/>
          <c:min val="0"/>
        </c:scaling>
        <c:delete val="0"/>
        <c:axPos val="l"/>
        <c:numFmt formatCode="General" sourceLinked="1"/>
        <c:majorTickMark val="out"/>
        <c:minorTickMark val="none"/>
        <c:tickLblPos val="nextTo"/>
        <c:txPr>
          <a:bodyPr rot="0" vert="horz"/>
          <a:lstStyle/>
          <a:p>
            <a:pPr>
              <a:defRPr/>
            </a:pPr>
            <a:endParaRPr lang="lv-LV"/>
          </a:p>
        </c:txPr>
        <c:crossAx val="78740480"/>
        <c:crosses val="autoZero"/>
        <c:crossBetween val="between"/>
        <c:majorUnit val="7"/>
      </c:valAx>
      <c:spPr>
        <a:noFill/>
        <a:ln w="12705">
          <a:noFill/>
          <a:prstDash val="solid"/>
        </a:ln>
      </c:spPr>
    </c:plotArea>
    <c:plotVisOnly val="1"/>
    <c:dispBlanksAs val="gap"/>
    <c:showDLblsOverMax val="0"/>
  </c:chart>
  <c:spPr>
    <a:solidFill>
      <a:schemeClr val="bg1"/>
    </a:solidFill>
    <a:ln>
      <a:noFill/>
    </a:ln>
  </c:spPr>
  <c:txPr>
    <a:bodyPr/>
    <a:lstStyle/>
    <a:p>
      <a:pPr>
        <a:defRPr sz="1400" b="0" i="0" u="none" strike="noStrike" baseline="0">
          <a:solidFill>
            <a:srgbClr val="000000"/>
          </a:solidFill>
          <a:latin typeface="Calibri" pitchFamily="34" charset="0"/>
          <a:ea typeface="Arial"/>
          <a:cs typeface="Calibri" pitchFamily="34" charset="0"/>
        </a:defRPr>
      </a:pPr>
      <a:endParaRPr lang="lv-LV"/>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0"/>
    <c:plotArea>
      <c:layout>
        <c:manualLayout>
          <c:layoutTarget val="inner"/>
          <c:xMode val="edge"/>
          <c:yMode val="edge"/>
          <c:x val="5.7979668925674917E-2"/>
          <c:y val="4.9866323096717138E-2"/>
          <c:w val="0.91747319514589454"/>
          <c:h val="0.83053070268178075"/>
        </c:manualLayout>
      </c:layout>
      <c:lineChart>
        <c:grouping val="standard"/>
        <c:varyColors val="0"/>
        <c:ser>
          <c:idx val="0"/>
          <c:order val="0"/>
          <c:tx>
            <c:strRef>
              <c:f>Sheet1!$A$20</c:f>
              <c:strCache>
                <c:ptCount val="1"/>
                <c:pt idx="0">
                  <c:v>Mērķa (pamata) scenārijs</c:v>
                </c:pt>
              </c:strCache>
            </c:strRef>
          </c:tx>
          <c:spPr>
            <a:ln w="63500">
              <a:solidFill>
                <a:srgbClr val="002D86"/>
              </a:solidFill>
            </a:ln>
          </c:spPr>
          <c:marker>
            <c:symbol val="none"/>
          </c:marker>
          <c:dLbls>
            <c:dLbl>
              <c:idx val="20"/>
              <c:layout>
                <c:manualLayout>
                  <c:x val="-3.3249948548522076E-2"/>
                  <c:y val="-5.4048654092197723E-2"/>
                </c:manualLayout>
              </c:layout>
              <c:showLegendKey val="0"/>
              <c:showVal val="1"/>
              <c:showCatName val="0"/>
              <c:showSerName val="0"/>
              <c:showPercent val="0"/>
              <c:showBubbleSize val="0"/>
            </c:dLbl>
            <c:dLbl>
              <c:idx val="30"/>
              <c:layout>
                <c:manualLayout>
                  <c:x val="-3.0358648674737414E-2"/>
                  <c:y val="-4.5514656077640124E-2"/>
                </c:manualLayout>
              </c:layout>
              <c:tx>
                <c:rich>
                  <a:bodyPr/>
                  <a:lstStyle/>
                  <a:p>
                    <a:r>
                      <a:rPr lang="lv-LV" sz="1000" dirty="0" smtClean="0"/>
                      <a:t>1</a:t>
                    </a:r>
                    <a:r>
                      <a:rPr lang="en-US" sz="1000" dirty="0" smtClean="0"/>
                      <a:t>,9</a:t>
                    </a:r>
                    <a:r>
                      <a:rPr lang="lv-LV" sz="1000" dirty="0" smtClean="0"/>
                      <a:t>4</a:t>
                    </a:r>
                    <a:endParaRPr lang="en-US" dirty="0"/>
                  </a:p>
                </c:rich>
              </c:tx>
              <c:showLegendKey val="0"/>
              <c:showVal val="1"/>
              <c:showCatName val="0"/>
              <c:showSerName val="0"/>
              <c:showPercent val="0"/>
              <c:showBubbleSize val="0"/>
            </c:dLbl>
            <c:showLegendKey val="0"/>
            <c:showVal val="0"/>
            <c:showCatName val="0"/>
            <c:showSerName val="0"/>
            <c:showPercent val="0"/>
            <c:showBubbleSize val="0"/>
          </c:dLbls>
          <c:cat>
            <c:numRef>
              <c:f>Sheet1!$B$19:$AF$19</c:f>
              <c:numCache>
                <c:formatCode>General</c:formatCode>
                <c:ptCount val="3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pt idx="27">
                  <c:v>2027</c:v>
                </c:pt>
                <c:pt idx="28">
                  <c:v>2028</c:v>
                </c:pt>
                <c:pt idx="29">
                  <c:v>2029</c:v>
                </c:pt>
                <c:pt idx="30">
                  <c:v>2030</c:v>
                </c:pt>
              </c:numCache>
            </c:numRef>
          </c:cat>
          <c:val>
            <c:numRef>
              <c:f>Sheet1!$B$20:$AF$20</c:f>
              <c:numCache>
                <c:formatCode>0.00</c:formatCode>
                <c:ptCount val="31"/>
                <c:pt idx="0">
                  <c:v>2.3817150000000002</c:v>
                </c:pt>
                <c:pt idx="1">
                  <c:v>2.3559290000000002</c:v>
                </c:pt>
                <c:pt idx="2">
                  <c:v>2.3283850000000004</c:v>
                </c:pt>
                <c:pt idx="3">
                  <c:v>2.3077739999999998</c:v>
                </c:pt>
                <c:pt idx="4">
                  <c:v>2.2891179999999998</c:v>
                </c:pt>
                <c:pt idx="5">
                  <c:v>2.2642370000000001</c:v>
                </c:pt>
                <c:pt idx="6">
                  <c:v>2.235881</c:v>
                </c:pt>
                <c:pt idx="7">
                  <c:v>2.2051430000000001</c:v>
                </c:pt>
                <c:pt idx="8">
                  <c:v>2.181454</c:v>
                </c:pt>
                <c:pt idx="9">
                  <c:v>2.1576610000000001</c:v>
                </c:pt>
                <c:pt idx="10">
                  <c:v>2.1206590000000003</c:v>
                </c:pt>
                <c:pt idx="11">
                  <c:v>2.074605</c:v>
                </c:pt>
                <c:pt idx="12">
                  <c:v>2.0497375600000005</c:v>
                </c:pt>
                <c:pt idx="13">
                  <c:v>2.0299740206800001</c:v>
                </c:pt>
                <c:pt idx="14">
                  <c:v>2.0135238311608337</c:v>
                </c:pt>
                <c:pt idx="15">
                  <c:v>1.9990493140170629</c:v>
                </c:pt>
                <c:pt idx="16">
                  <c:v>1.986899997387777</c:v>
                </c:pt>
                <c:pt idx="17">
                  <c:v>1.9761698221074293</c:v>
                </c:pt>
                <c:pt idx="18">
                  <c:v>1.9667492331960927</c:v>
                </c:pt>
                <c:pt idx="19">
                  <c:v>1.958708564924772</c:v>
                </c:pt>
                <c:pt idx="20">
                  <c:v>1.9520935199123017</c:v>
                </c:pt>
                <c:pt idx="21">
                  <c:v>1.9469821311070541</c:v>
                </c:pt>
                <c:pt idx="22">
                  <c:v>1.9435564254877522</c:v>
                </c:pt>
                <c:pt idx="23">
                  <c:v>1.9413479210559261</c:v>
                </c:pt>
                <c:pt idx="24">
                  <c:v>1.9401269841997695</c:v>
                </c:pt>
                <c:pt idx="25">
                  <c:v>1.9396684556642518</c:v>
                </c:pt>
                <c:pt idx="26">
                  <c:v>1.9400558108578365</c:v>
                </c:pt>
                <c:pt idx="27">
                  <c:v>1.9412070947326836</c:v>
                </c:pt>
                <c:pt idx="28">
                  <c:v>1.9426762250482092</c:v>
                </c:pt>
                <c:pt idx="29">
                  <c:v>1.9445710559537188</c:v>
                </c:pt>
                <c:pt idx="30">
                  <c:v>1.9468139125035302</c:v>
                </c:pt>
              </c:numCache>
            </c:numRef>
          </c:val>
          <c:smooth val="0"/>
        </c:ser>
        <c:ser>
          <c:idx val="1"/>
          <c:order val="1"/>
          <c:tx>
            <c:strRef>
              <c:f>Sheet1!$A$21</c:f>
              <c:strCache>
                <c:ptCount val="1"/>
                <c:pt idx="0">
                  <c:v>Demogrāfijas bāzes scenārijs (bez reemigrācijas un imigrācijas)</c:v>
                </c:pt>
              </c:strCache>
            </c:strRef>
          </c:tx>
          <c:spPr>
            <a:ln w="44450">
              <a:solidFill>
                <a:srgbClr val="003192">
                  <a:alpha val="97000"/>
                </a:srgbClr>
              </a:solidFill>
              <a:prstDash val="sysDash"/>
            </a:ln>
          </c:spPr>
          <c:marker>
            <c:symbol val="none"/>
          </c:marker>
          <c:dLbls>
            <c:dLbl>
              <c:idx val="0"/>
              <c:layout>
                <c:manualLayout>
                  <c:x val="-1.4456499368922581E-2"/>
                  <c:y val="-3.6980658063082594E-2"/>
                </c:manualLayout>
              </c:layout>
              <c:showLegendKey val="0"/>
              <c:showVal val="1"/>
              <c:showCatName val="0"/>
              <c:showSerName val="0"/>
              <c:showPercent val="0"/>
              <c:showBubbleSize val="0"/>
            </c:dLbl>
            <c:dLbl>
              <c:idx val="1"/>
              <c:delete val="1"/>
            </c:dLbl>
            <c:dLbl>
              <c:idx val="2"/>
              <c:delete val="1"/>
            </c:dLbl>
            <c:dLbl>
              <c:idx val="3"/>
              <c:delete val="1"/>
            </c:dLbl>
            <c:dLbl>
              <c:idx val="4"/>
              <c:layout>
                <c:manualLayout>
                  <c:x val="-1.0119549558245832E-2"/>
                  <c:y val="-3.4135992058230091E-2"/>
                </c:manualLayout>
              </c:layout>
              <c:showLegendKey val="0"/>
              <c:showVal val="1"/>
              <c:showCatName val="0"/>
              <c:showSerName val="0"/>
              <c:showPercent val="0"/>
              <c:showBubbleSize val="0"/>
            </c:dLbl>
            <c:dLbl>
              <c:idx val="5"/>
              <c:delete val="1"/>
            </c:dLbl>
            <c:dLbl>
              <c:idx val="6"/>
              <c:delete val="1"/>
            </c:dLbl>
            <c:dLbl>
              <c:idx val="7"/>
              <c:delete val="1"/>
            </c:dLbl>
            <c:dLbl>
              <c:idx val="8"/>
              <c:delete val="1"/>
            </c:dLbl>
            <c:dLbl>
              <c:idx val="9"/>
              <c:delete val="1"/>
            </c:dLbl>
            <c:dLbl>
              <c:idx val="10"/>
              <c:delete val="1"/>
            </c:dLbl>
            <c:dLbl>
              <c:idx val="11"/>
              <c:layout>
                <c:manualLayout>
                  <c:x val="-1.1565199495138149E-2"/>
                  <c:y val="-3.1291326053377651E-2"/>
                </c:manualLayout>
              </c:layout>
              <c:showLegendKey val="0"/>
              <c:showVal val="1"/>
              <c:showCatName val="0"/>
              <c:showSerName val="0"/>
              <c:showPercent val="0"/>
              <c:showBubbleSize val="0"/>
            </c:dLbl>
            <c:dLbl>
              <c:idx val="12"/>
              <c:delete val="1"/>
            </c:dLbl>
            <c:dLbl>
              <c:idx val="13"/>
              <c:delete val="1"/>
            </c:dLbl>
            <c:dLbl>
              <c:idx val="14"/>
              <c:delete val="1"/>
            </c:dLbl>
            <c:dLbl>
              <c:idx val="15"/>
              <c:delete val="1"/>
            </c:dLbl>
            <c:dLbl>
              <c:idx val="16"/>
              <c:delete val="1"/>
            </c:dLbl>
            <c:dLbl>
              <c:idx val="17"/>
              <c:delete val="1"/>
            </c:dLbl>
            <c:dLbl>
              <c:idx val="18"/>
              <c:delete val="1"/>
            </c:dLbl>
            <c:dLbl>
              <c:idx val="19"/>
              <c:layout>
                <c:manualLayout>
                  <c:x val="4.3369498106767814E-3"/>
                  <c:y val="6.1663661302590413E-2"/>
                </c:manualLayout>
              </c:layout>
              <c:tx>
                <c:rich>
                  <a:bodyPr/>
                  <a:lstStyle/>
                  <a:p>
                    <a:r>
                      <a:rPr lang="lv-LV" sz="1000"/>
                      <a:t>1</a:t>
                    </a:r>
                    <a:r>
                      <a:rPr lang="en-US" sz="1000"/>
                      <a:t>,9</a:t>
                    </a:r>
                    <a:r>
                      <a:rPr lang="lv-LV" sz="1000"/>
                      <a:t>3</a:t>
                    </a:r>
                    <a:endParaRPr lang="en-US"/>
                  </a:p>
                </c:rich>
              </c:tx>
              <c:showLegendKey val="0"/>
              <c:showVal val="1"/>
              <c:showCatName val="0"/>
              <c:showSerName val="0"/>
              <c:showPercent val="0"/>
              <c:showBubbleSize val="0"/>
            </c:dLbl>
            <c:dLbl>
              <c:idx val="20"/>
              <c:delete val="1"/>
            </c:dLbl>
            <c:dLbl>
              <c:idx val="21"/>
              <c:delete val="1"/>
            </c:dLbl>
            <c:dLbl>
              <c:idx val="22"/>
              <c:delete val="1"/>
            </c:dLbl>
            <c:dLbl>
              <c:idx val="23"/>
              <c:delete val="1"/>
            </c:dLbl>
            <c:dLbl>
              <c:idx val="24"/>
              <c:delete val="1"/>
            </c:dLbl>
            <c:dLbl>
              <c:idx val="25"/>
              <c:delete val="1"/>
            </c:dLbl>
            <c:dLbl>
              <c:idx val="26"/>
              <c:delete val="1"/>
            </c:dLbl>
            <c:dLbl>
              <c:idx val="27"/>
              <c:delete val="1"/>
            </c:dLbl>
            <c:dLbl>
              <c:idx val="28"/>
              <c:delete val="1"/>
            </c:dLbl>
            <c:dLbl>
              <c:idx val="29"/>
              <c:delete val="1"/>
            </c:dLbl>
            <c:dLbl>
              <c:idx val="30"/>
              <c:layout>
                <c:manualLayout>
                  <c:x val="-2.4576048927168401E-2"/>
                  <c:y val="3.4135992058230091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Sheet1!$B$19:$AF$19</c:f>
              <c:numCache>
                <c:formatCode>General</c:formatCode>
                <c:ptCount val="3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pt idx="27">
                  <c:v>2027</c:v>
                </c:pt>
                <c:pt idx="28">
                  <c:v>2028</c:v>
                </c:pt>
                <c:pt idx="29">
                  <c:v>2029</c:v>
                </c:pt>
                <c:pt idx="30">
                  <c:v>2030</c:v>
                </c:pt>
              </c:numCache>
            </c:numRef>
          </c:cat>
          <c:val>
            <c:numRef>
              <c:f>Sheet1!$B$21:$AF$21</c:f>
              <c:numCache>
                <c:formatCode>0.00</c:formatCode>
                <c:ptCount val="31"/>
                <c:pt idx="0">
                  <c:v>2.3817150000000002</c:v>
                </c:pt>
                <c:pt idx="1">
                  <c:v>2.3559290000000002</c:v>
                </c:pt>
                <c:pt idx="2">
                  <c:v>2.3283850000000004</c:v>
                </c:pt>
                <c:pt idx="3">
                  <c:v>2.3077739999999998</c:v>
                </c:pt>
                <c:pt idx="4">
                  <c:v>2.2891179999999998</c:v>
                </c:pt>
                <c:pt idx="5">
                  <c:v>2.2642370000000001</c:v>
                </c:pt>
                <c:pt idx="6">
                  <c:v>2.235881</c:v>
                </c:pt>
                <c:pt idx="7">
                  <c:v>2.2051430000000001</c:v>
                </c:pt>
                <c:pt idx="8">
                  <c:v>2.181454</c:v>
                </c:pt>
                <c:pt idx="9">
                  <c:v>2.1576610000000001</c:v>
                </c:pt>
                <c:pt idx="10">
                  <c:v>2.1206590000000003</c:v>
                </c:pt>
                <c:pt idx="11">
                  <c:v>2.074605</c:v>
                </c:pt>
                <c:pt idx="12">
                  <c:v>2.0497375600000005</c:v>
                </c:pt>
                <c:pt idx="13">
                  <c:v>2.0294490206800004</c:v>
                </c:pt>
                <c:pt idx="14">
                  <c:v>2.0120780014191033</c:v>
                </c:pt>
                <c:pt idx="15">
                  <c:v>1.9964239427190564</c:v>
                </c:pt>
                <c:pt idx="16">
                  <c:v>1.9828427501896722</c:v>
                </c:pt>
                <c:pt idx="17">
                  <c:v>1.9703309754151168</c:v>
                </c:pt>
                <c:pt idx="18">
                  <c:v>1.9587254070352123</c:v>
                </c:pt>
                <c:pt idx="19">
                  <c:v>1.9479357091599974</c:v>
                </c:pt>
                <c:pt idx="20" formatCode="0.000">
                  <c:v>1.9378428896241386</c:v>
                </c:pt>
                <c:pt idx="21">
                  <c:v>1.9283902236909913</c:v>
                </c:pt>
                <c:pt idx="22">
                  <c:v>1.9196533315329671</c:v>
                </c:pt>
                <c:pt idx="23">
                  <c:v>1.9113837828248312</c:v>
                </c:pt>
                <c:pt idx="24">
                  <c:v>1.9035150553769875</c:v>
                </c:pt>
                <c:pt idx="25">
                  <c:v>1.8959709277465093</c:v>
                </c:pt>
                <c:pt idx="26">
                  <c:v>1.8886224122563362</c:v>
                </c:pt>
                <c:pt idx="27">
                  <c:v>1.8814581292857995</c:v>
                </c:pt>
                <c:pt idx="28">
                  <c:v>1.874307737957555</c:v>
                </c:pt>
                <c:pt idx="29">
                  <c:v>1.8673812614095917</c:v>
                </c:pt>
                <c:pt idx="30">
                  <c:v>1.8606001059866917</c:v>
                </c:pt>
              </c:numCache>
            </c:numRef>
          </c:val>
          <c:smooth val="0"/>
        </c:ser>
        <c:dLbls>
          <c:showLegendKey val="0"/>
          <c:showVal val="0"/>
          <c:showCatName val="0"/>
          <c:showSerName val="0"/>
          <c:showPercent val="0"/>
          <c:showBubbleSize val="0"/>
        </c:dLbls>
        <c:marker val="1"/>
        <c:smooth val="0"/>
        <c:axId val="79177216"/>
        <c:axId val="80322944"/>
      </c:lineChart>
      <c:catAx>
        <c:axId val="79177216"/>
        <c:scaling>
          <c:orientation val="minMax"/>
        </c:scaling>
        <c:delete val="0"/>
        <c:axPos val="b"/>
        <c:numFmt formatCode="General" sourceLinked="1"/>
        <c:majorTickMark val="out"/>
        <c:minorTickMark val="none"/>
        <c:tickLblPos val="nextTo"/>
        <c:txPr>
          <a:bodyPr/>
          <a:lstStyle/>
          <a:p>
            <a:pPr>
              <a:defRPr sz="1000"/>
            </a:pPr>
            <a:endParaRPr lang="lv-LV"/>
          </a:p>
        </c:txPr>
        <c:crossAx val="80322944"/>
        <c:crosses val="autoZero"/>
        <c:auto val="1"/>
        <c:lblAlgn val="ctr"/>
        <c:lblOffset val="100"/>
        <c:tickLblSkip val="2"/>
        <c:noMultiLvlLbl val="0"/>
      </c:catAx>
      <c:valAx>
        <c:axId val="80322944"/>
        <c:scaling>
          <c:orientation val="minMax"/>
          <c:min val="1.75"/>
        </c:scaling>
        <c:delete val="0"/>
        <c:axPos val="l"/>
        <c:numFmt formatCode="0.0" sourceLinked="0"/>
        <c:majorTickMark val="out"/>
        <c:minorTickMark val="none"/>
        <c:tickLblPos val="nextTo"/>
        <c:txPr>
          <a:bodyPr/>
          <a:lstStyle/>
          <a:p>
            <a:pPr>
              <a:defRPr sz="1000"/>
            </a:pPr>
            <a:endParaRPr lang="lv-LV"/>
          </a:p>
        </c:txPr>
        <c:crossAx val="79177216"/>
        <c:crosses val="autoZero"/>
        <c:crossBetween val="between"/>
      </c:valAx>
      <c:spPr>
        <a:noFill/>
        <a:ln w="25400">
          <a:noFill/>
        </a:ln>
      </c:spPr>
    </c:plotArea>
    <c:legend>
      <c:legendPos val="r"/>
      <c:layout>
        <c:manualLayout>
          <c:xMode val="edge"/>
          <c:yMode val="edge"/>
          <c:x val="0.45845399533391662"/>
          <c:y val="3.7930366359707451E-2"/>
          <c:w val="0.53266221930592006"/>
          <c:h val="0.41515818969587437"/>
        </c:manualLayout>
      </c:layout>
      <c:overlay val="0"/>
    </c:legend>
    <c:plotVisOnly val="1"/>
    <c:dispBlanksAs val="zero"/>
    <c:showDLblsOverMax val="0"/>
  </c:chart>
  <c:spPr>
    <a:solidFill>
      <a:srgbClr val="FFFFFF"/>
    </a:solidFill>
    <a:ln>
      <a:noFill/>
    </a:ln>
  </c:spPr>
  <c:txPr>
    <a:bodyPr/>
    <a:lstStyle/>
    <a:p>
      <a:pPr>
        <a:defRPr sz="1100">
          <a:latin typeface="Times New Roman" pitchFamily="18" charset="0"/>
          <a:cs typeface="Times New Roman" pitchFamily="18" charset="0"/>
        </a:defRPr>
      </a:pPr>
      <a:endParaRPr lang="lv-LV"/>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5241186067957728E-2"/>
          <c:y val="0.11291222958363685"/>
          <c:w val="0.60767053955389116"/>
          <c:h val="0.82182755789887485"/>
        </c:manualLayout>
      </c:layout>
      <c:pieChart>
        <c:varyColors val="1"/>
        <c:ser>
          <c:idx val="0"/>
          <c:order val="0"/>
          <c:tx>
            <c:strRef>
              <c:f>Sheet1!$B$1</c:f>
              <c:strCache>
                <c:ptCount val="1"/>
                <c:pt idx="0">
                  <c:v>2011</c:v>
                </c:pt>
              </c:strCache>
            </c:strRef>
          </c:tx>
          <c:spPr>
            <a:ln w="6350">
              <a:solidFill>
                <a:sysClr val="windowText" lastClr="000000"/>
              </a:solidFill>
            </a:ln>
          </c:spPr>
          <c:explosion val="5"/>
          <c:dPt>
            <c:idx val="0"/>
            <c:bubble3D val="0"/>
            <c:spPr>
              <a:solidFill>
                <a:srgbClr val="EEECE1">
                  <a:lumMod val="90000"/>
                </a:srgbClr>
              </a:solidFill>
              <a:ln w="6350">
                <a:solidFill>
                  <a:sysClr val="windowText" lastClr="000000"/>
                </a:solidFill>
              </a:ln>
            </c:spPr>
          </c:dPt>
          <c:dPt>
            <c:idx val="1"/>
            <c:bubble3D val="0"/>
            <c:spPr>
              <a:solidFill>
                <a:srgbClr val="EEECE1">
                  <a:lumMod val="75000"/>
                </a:srgbClr>
              </a:solidFill>
              <a:ln w="6350">
                <a:solidFill>
                  <a:sysClr val="windowText" lastClr="000000"/>
                </a:solidFill>
              </a:ln>
            </c:spPr>
          </c:dPt>
          <c:dPt>
            <c:idx val="2"/>
            <c:bubble3D val="0"/>
            <c:spPr>
              <a:solidFill>
                <a:srgbClr val="FF0000"/>
              </a:solidFill>
              <a:ln w="6350">
                <a:solidFill>
                  <a:sysClr val="windowText" lastClr="000000"/>
                </a:solidFill>
              </a:ln>
            </c:spPr>
          </c:dPt>
          <c:dPt>
            <c:idx val="3"/>
            <c:bubble3D val="0"/>
            <c:spPr>
              <a:solidFill>
                <a:srgbClr val="800000"/>
              </a:solidFill>
              <a:ln w="6350">
                <a:solidFill>
                  <a:sysClr val="windowText" lastClr="000000"/>
                </a:solidFill>
              </a:ln>
            </c:spPr>
          </c:dPt>
          <c:dPt>
            <c:idx val="4"/>
            <c:bubble3D val="0"/>
            <c:spPr>
              <a:solidFill>
                <a:srgbClr val="EEECE1">
                  <a:lumMod val="90000"/>
                </a:srgbClr>
              </a:solidFill>
              <a:ln w="6350">
                <a:solidFill>
                  <a:sysClr val="windowText" lastClr="000000"/>
                </a:solidFill>
              </a:ln>
            </c:spPr>
          </c:dPt>
          <c:dPt>
            <c:idx val="5"/>
            <c:bubble3D val="0"/>
            <c:spPr>
              <a:solidFill>
                <a:srgbClr val="EEECE1"/>
              </a:solidFill>
              <a:ln w="6350">
                <a:solidFill>
                  <a:sysClr val="windowText" lastClr="000000"/>
                </a:solidFill>
              </a:ln>
            </c:spPr>
          </c:dPt>
          <c:dLbls>
            <c:dLbl>
              <c:idx val="0"/>
              <c:layout>
                <c:manualLayout>
                  <c:x val="0"/>
                  <c:y val="1.1747430249632896E-2"/>
                </c:manualLayout>
              </c:layout>
              <c:dLblPos val="bestFit"/>
              <c:showLegendKey val="0"/>
              <c:showVal val="0"/>
              <c:showCatName val="0"/>
              <c:showSerName val="0"/>
              <c:showPercent val="1"/>
              <c:showBubbleSize val="0"/>
            </c:dLbl>
            <c:txPr>
              <a:bodyPr/>
              <a:lstStyle/>
              <a:p>
                <a:pPr>
                  <a:defRPr sz="900" b="0">
                    <a:solidFill>
                      <a:schemeClr val="tx1"/>
                    </a:solidFill>
                    <a:latin typeface="Times New Roman" pitchFamily="18" charset="0"/>
                    <a:cs typeface="Times New Roman" pitchFamily="18" charset="0"/>
                  </a:defRPr>
                </a:pPr>
                <a:endParaRPr lang="lv-LV"/>
              </a:p>
            </c:txPr>
            <c:dLblPos val="outEnd"/>
            <c:showLegendKey val="0"/>
            <c:showVal val="0"/>
            <c:showCatName val="0"/>
            <c:showSerName val="0"/>
            <c:showPercent val="1"/>
            <c:showBubbleSize val="0"/>
            <c:showLeaderLines val="0"/>
          </c:dLbls>
          <c:cat>
            <c:strRef>
              <c:f>Sheet1!$A$2:$A$5</c:f>
              <c:strCache>
                <c:ptCount val="4"/>
                <c:pt idx="0">
                  <c:v>&lt;30</c:v>
                </c:pt>
                <c:pt idx="1">
                  <c:v>30-49</c:v>
                </c:pt>
                <c:pt idx="2">
                  <c:v>50-59</c:v>
                </c:pt>
                <c:pt idx="3">
                  <c:v>60+</c:v>
                </c:pt>
              </c:strCache>
            </c:strRef>
          </c:cat>
          <c:val>
            <c:numRef>
              <c:f>Sheet1!$B$2:$B$5</c:f>
              <c:numCache>
                <c:formatCode>0</c:formatCode>
                <c:ptCount val="4"/>
                <c:pt idx="0" formatCode="0.0">
                  <c:v>15.054743413854359</c:v>
                </c:pt>
                <c:pt idx="1">
                  <c:v>50.182884184721551</c:v>
                </c:pt>
                <c:pt idx="2">
                  <c:v>18.885637072975786</c:v>
                </c:pt>
                <c:pt idx="3">
                  <c:v>15.876735328448298</c:v>
                </c:pt>
              </c:numCache>
            </c:numRef>
          </c:val>
        </c:ser>
        <c:dLbls>
          <c:showLegendKey val="0"/>
          <c:showVal val="0"/>
          <c:showCatName val="0"/>
          <c:showSerName val="0"/>
          <c:showPercent val="0"/>
          <c:showBubbleSize val="0"/>
          <c:showLeaderLines val="0"/>
        </c:dLbls>
        <c:firstSliceAng val="0"/>
      </c:pieChart>
    </c:plotArea>
    <c:legend>
      <c:legendPos val="r"/>
      <c:layout>
        <c:manualLayout>
          <c:xMode val="edge"/>
          <c:yMode val="edge"/>
          <c:x val="0.80005129651953111"/>
          <c:y val="0.13501081087331043"/>
          <c:w val="0.1706730958304479"/>
          <c:h val="0.69770948234994856"/>
        </c:manualLayout>
      </c:layout>
      <c:overlay val="0"/>
      <c:txPr>
        <a:bodyPr/>
        <a:lstStyle/>
        <a:p>
          <a:pPr>
            <a:defRPr sz="1000" b="0">
              <a:effectLst/>
              <a:latin typeface="Times New Roman" pitchFamily="18" charset="0"/>
              <a:cs typeface="Times New Roman" pitchFamily="18" charset="0"/>
            </a:defRPr>
          </a:pPr>
          <a:endParaRPr lang="lv-LV"/>
        </a:p>
      </c:txPr>
    </c:legend>
    <c:plotVisOnly val="1"/>
    <c:dispBlanksAs val="zero"/>
    <c:showDLblsOverMax val="0"/>
  </c:chart>
  <c:spPr>
    <a:ln>
      <a:noFill/>
    </a:ln>
  </c:spPr>
  <c:txPr>
    <a:bodyPr/>
    <a:lstStyle/>
    <a:p>
      <a:pPr>
        <a:defRPr sz="1800"/>
      </a:pPr>
      <a:endParaRPr lang="lv-LV"/>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5241186067957728E-2"/>
          <c:y val="0.11291222958363685"/>
          <c:w val="0.60767053955389116"/>
          <c:h val="0.82182755789887485"/>
        </c:manualLayout>
      </c:layout>
      <c:pieChart>
        <c:varyColors val="1"/>
        <c:ser>
          <c:idx val="0"/>
          <c:order val="0"/>
          <c:tx>
            <c:strRef>
              <c:f>Sheet1!$B$1</c:f>
              <c:strCache>
                <c:ptCount val="1"/>
                <c:pt idx="0">
                  <c:v>2011</c:v>
                </c:pt>
              </c:strCache>
            </c:strRef>
          </c:tx>
          <c:spPr>
            <a:ln w="6350">
              <a:solidFill>
                <a:sysClr val="windowText" lastClr="000000"/>
              </a:solidFill>
            </a:ln>
          </c:spPr>
          <c:explosion val="5"/>
          <c:dPt>
            <c:idx val="0"/>
            <c:bubble3D val="0"/>
            <c:spPr>
              <a:solidFill>
                <a:srgbClr val="EEECE1">
                  <a:lumMod val="90000"/>
                </a:srgbClr>
              </a:solidFill>
              <a:ln w="6350">
                <a:solidFill>
                  <a:sysClr val="windowText" lastClr="000000"/>
                </a:solidFill>
              </a:ln>
            </c:spPr>
          </c:dPt>
          <c:dPt>
            <c:idx val="1"/>
            <c:bubble3D val="0"/>
            <c:spPr>
              <a:solidFill>
                <a:srgbClr val="EEECE1">
                  <a:lumMod val="75000"/>
                </a:srgbClr>
              </a:solidFill>
              <a:ln w="6350">
                <a:solidFill>
                  <a:sysClr val="windowText" lastClr="000000"/>
                </a:solidFill>
              </a:ln>
            </c:spPr>
          </c:dPt>
          <c:dPt>
            <c:idx val="2"/>
            <c:bubble3D val="0"/>
            <c:spPr>
              <a:solidFill>
                <a:srgbClr val="FF0000"/>
              </a:solidFill>
              <a:ln w="6350">
                <a:solidFill>
                  <a:sysClr val="windowText" lastClr="000000"/>
                </a:solidFill>
              </a:ln>
            </c:spPr>
          </c:dPt>
          <c:dPt>
            <c:idx val="3"/>
            <c:bubble3D val="0"/>
            <c:spPr>
              <a:solidFill>
                <a:srgbClr val="800000"/>
              </a:solidFill>
              <a:ln w="6350">
                <a:solidFill>
                  <a:sysClr val="windowText" lastClr="000000"/>
                </a:solidFill>
              </a:ln>
            </c:spPr>
          </c:dPt>
          <c:dPt>
            <c:idx val="4"/>
            <c:bubble3D val="0"/>
            <c:spPr>
              <a:solidFill>
                <a:srgbClr val="EEECE1">
                  <a:lumMod val="90000"/>
                </a:srgbClr>
              </a:solidFill>
              <a:ln w="6350">
                <a:solidFill>
                  <a:sysClr val="windowText" lastClr="000000"/>
                </a:solidFill>
              </a:ln>
            </c:spPr>
          </c:dPt>
          <c:dPt>
            <c:idx val="5"/>
            <c:bubble3D val="0"/>
            <c:spPr>
              <a:solidFill>
                <a:srgbClr val="EEECE1"/>
              </a:solidFill>
              <a:ln w="6350">
                <a:solidFill>
                  <a:sysClr val="windowText" lastClr="000000"/>
                </a:solidFill>
              </a:ln>
            </c:spPr>
          </c:dPt>
          <c:dLbls>
            <c:dLbl>
              <c:idx val="0"/>
              <c:layout>
                <c:manualLayout>
                  <c:x val="0"/>
                  <c:y val="1.1747430249632896E-2"/>
                </c:manualLayout>
              </c:layout>
              <c:dLblPos val="bestFit"/>
              <c:showLegendKey val="0"/>
              <c:showVal val="0"/>
              <c:showCatName val="0"/>
              <c:showSerName val="0"/>
              <c:showPercent val="1"/>
              <c:showBubbleSize val="0"/>
            </c:dLbl>
            <c:txPr>
              <a:bodyPr/>
              <a:lstStyle/>
              <a:p>
                <a:pPr>
                  <a:defRPr sz="900" b="0">
                    <a:solidFill>
                      <a:schemeClr val="tx1"/>
                    </a:solidFill>
                    <a:latin typeface="Times New Roman" pitchFamily="18" charset="0"/>
                    <a:cs typeface="Times New Roman" pitchFamily="18" charset="0"/>
                  </a:defRPr>
                </a:pPr>
                <a:endParaRPr lang="lv-LV"/>
              </a:p>
            </c:txPr>
            <c:dLblPos val="outEnd"/>
            <c:showLegendKey val="0"/>
            <c:showVal val="0"/>
            <c:showCatName val="0"/>
            <c:showSerName val="0"/>
            <c:showPercent val="1"/>
            <c:showBubbleSize val="0"/>
            <c:showLeaderLines val="0"/>
          </c:dLbls>
          <c:cat>
            <c:strRef>
              <c:f>Sheet1!$A$2:$A$5</c:f>
              <c:strCache>
                <c:ptCount val="4"/>
                <c:pt idx="0">
                  <c:v>&lt;30</c:v>
                </c:pt>
                <c:pt idx="1">
                  <c:v>30-49</c:v>
                </c:pt>
                <c:pt idx="2">
                  <c:v>50-59</c:v>
                </c:pt>
                <c:pt idx="3">
                  <c:v>60+</c:v>
                </c:pt>
              </c:strCache>
            </c:strRef>
          </c:cat>
          <c:val>
            <c:numRef>
              <c:f>Sheet1!$B$2:$B$5</c:f>
              <c:numCache>
                <c:formatCode>0</c:formatCode>
                <c:ptCount val="4"/>
                <c:pt idx="0" formatCode="0.0">
                  <c:v>9.5319861421586527</c:v>
                </c:pt>
                <c:pt idx="1">
                  <c:v>48.340354283373266</c:v>
                </c:pt>
                <c:pt idx="2">
                  <c:v>23.632250652369461</c:v>
                </c:pt>
                <c:pt idx="3">
                  <c:v>18.495408922098623</c:v>
                </c:pt>
              </c:numCache>
            </c:numRef>
          </c:val>
        </c:ser>
        <c:dLbls>
          <c:showLegendKey val="0"/>
          <c:showVal val="0"/>
          <c:showCatName val="0"/>
          <c:showSerName val="0"/>
          <c:showPercent val="0"/>
          <c:showBubbleSize val="0"/>
          <c:showLeaderLines val="0"/>
        </c:dLbls>
        <c:firstSliceAng val="0"/>
      </c:pieChart>
    </c:plotArea>
    <c:legend>
      <c:legendPos val="r"/>
      <c:layout>
        <c:manualLayout>
          <c:xMode val="edge"/>
          <c:yMode val="edge"/>
          <c:x val="0.80005129651953111"/>
          <c:y val="0.13501081087331043"/>
          <c:w val="0.1706730958304479"/>
          <c:h val="0.69770948234994856"/>
        </c:manualLayout>
      </c:layout>
      <c:overlay val="0"/>
      <c:txPr>
        <a:bodyPr/>
        <a:lstStyle/>
        <a:p>
          <a:pPr>
            <a:defRPr sz="1000" b="0">
              <a:effectLst/>
              <a:latin typeface="Times New Roman" pitchFamily="18" charset="0"/>
              <a:cs typeface="Times New Roman" pitchFamily="18" charset="0"/>
            </a:defRPr>
          </a:pPr>
          <a:endParaRPr lang="lv-LV"/>
        </a:p>
      </c:txPr>
    </c:legend>
    <c:plotVisOnly val="1"/>
    <c:dispBlanksAs val="zero"/>
    <c:showDLblsOverMax val="0"/>
  </c:chart>
  <c:spPr>
    <a:ln>
      <a:noFill/>
    </a:ln>
  </c:spPr>
  <c:txPr>
    <a:bodyPr/>
    <a:lstStyle/>
    <a:p>
      <a:pPr>
        <a:defRPr sz="1800"/>
      </a:pPr>
      <a:endParaRPr lang="lv-LV"/>
    </a:p>
  </c:txPr>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6868C65-CF37-4F75-8587-2237E21D86A8}" type="doc">
      <dgm:prSet loTypeId="urn:microsoft.com/office/officeart/2005/8/layout/cycle8" loCatId="cycle" qsTypeId="urn:microsoft.com/office/officeart/2005/8/quickstyle/simple1" qsCatId="simple" csTypeId="urn:microsoft.com/office/officeart/2005/8/colors/colorful2" csCatId="colorful" phldr="1"/>
      <dgm:spPr/>
      <dgm:t>
        <a:bodyPr/>
        <a:lstStyle/>
        <a:p>
          <a:endParaRPr lang="lv-LV"/>
        </a:p>
      </dgm:t>
    </dgm:pt>
    <dgm:pt modelId="{7E57AF3C-4FF1-4602-BE1F-5D100045AE90}">
      <dgm:prSet phldrT="[Text]" custT="1"/>
      <dgm:spPr/>
      <dgm:t>
        <a:bodyPr/>
        <a:lstStyle/>
        <a:p>
          <a:pPr algn="ctr"/>
          <a:r>
            <a:rPr lang="lv-LV" sz="1200"/>
            <a:t>Zināšanu kapacitāte</a:t>
          </a:r>
        </a:p>
      </dgm:t>
    </dgm:pt>
    <dgm:pt modelId="{230713DE-444F-466D-8E9E-91A58ABD55C0}" type="parTrans" cxnId="{90CC8250-0671-4FC0-A581-85FEBDF431D4}">
      <dgm:prSet/>
      <dgm:spPr/>
      <dgm:t>
        <a:bodyPr/>
        <a:lstStyle/>
        <a:p>
          <a:pPr algn="ctr"/>
          <a:endParaRPr lang="lv-LV" sz="2000"/>
        </a:p>
      </dgm:t>
    </dgm:pt>
    <dgm:pt modelId="{85EA8B0E-009F-4076-AC92-29023710DF7E}" type="sibTrans" cxnId="{90CC8250-0671-4FC0-A581-85FEBDF431D4}">
      <dgm:prSet/>
      <dgm:spPr/>
      <dgm:t>
        <a:bodyPr/>
        <a:lstStyle/>
        <a:p>
          <a:pPr algn="ctr"/>
          <a:endParaRPr lang="lv-LV" sz="2000"/>
        </a:p>
      </dgm:t>
    </dgm:pt>
    <dgm:pt modelId="{D86B8455-E02F-4998-AC09-0891D1BA260E}">
      <dgm:prSet phldrT="[Text]" custT="1"/>
      <dgm:spPr/>
      <dgm:t>
        <a:bodyPr/>
        <a:lstStyle/>
        <a:p>
          <a:pPr algn="ctr"/>
          <a:r>
            <a:rPr lang="lv-LV" sz="1200"/>
            <a:t>Inovācijas piedāvājums</a:t>
          </a:r>
        </a:p>
      </dgm:t>
    </dgm:pt>
    <dgm:pt modelId="{373ADBBC-0544-4719-A690-455C0265B9BF}" type="parTrans" cxnId="{CAFA2F35-3254-4D38-9854-F59CC9138858}">
      <dgm:prSet/>
      <dgm:spPr/>
      <dgm:t>
        <a:bodyPr/>
        <a:lstStyle/>
        <a:p>
          <a:pPr algn="ctr"/>
          <a:endParaRPr lang="lv-LV" sz="2000"/>
        </a:p>
      </dgm:t>
    </dgm:pt>
    <dgm:pt modelId="{36DB90AB-C5E0-47AC-8078-E788BC0FF76E}" type="sibTrans" cxnId="{CAFA2F35-3254-4D38-9854-F59CC9138858}">
      <dgm:prSet/>
      <dgm:spPr/>
      <dgm:t>
        <a:bodyPr/>
        <a:lstStyle/>
        <a:p>
          <a:pPr algn="ctr"/>
          <a:endParaRPr lang="lv-LV" sz="2000"/>
        </a:p>
      </dgm:t>
    </dgm:pt>
    <dgm:pt modelId="{D5CE858D-12D4-433A-8082-A1B567030F38}">
      <dgm:prSet phldrT="[Text]" custT="1"/>
      <dgm:spPr/>
      <dgm:t>
        <a:bodyPr/>
        <a:lstStyle/>
        <a:p>
          <a:pPr algn="ctr"/>
          <a:r>
            <a:rPr lang="lv-LV" sz="1200"/>
            <a:t>Inovācijas pieprasījums</a:t>
          </a:r>
        </a:p>
      </dgm:t>
    </dgm:pt>
    <dgm:pt modelId="{1940E449-691D-4D4D-BC7D-2DD5428FF3B5}" type="parTrans" cxnId="{49B34850-37DC-45C8-8926-B435A33BC3EA}">
      <dgm:prSet/>
      <dgm:spPr/>
      <dgm:t>
        <a:bodyPr/>
        <a:lstStyle/>
        <a:p>
          <a:pPr algn="ctr"/>
          <a:endParaRPr lang="lv-LV" sz="2000"/>
        </a:p>
      </dgm:t>
    </dgm:pt>
    <dgm:pt modelId="{5FCC2180-B120-4611-8531-B5284B928D46}" type="sibTrans" cxnId="{49B34850-37DC-45C8-8926-B435A33BC3EA}">
      <dgm:prSet/>
      <dgm:spPr/>
      <dgm:t>
        <a:bodyPr/>
        <a:lstStyle/>
        <a:p>
          <a:pPr algn="ctr"/>
          <a:endParaRPr lang="lv-LV" sz="2000"/>
        </a:p>
      </dgm:t>
    </dgm:pt>
    <dgm:pt modelId="{2524712F-FE13-4525-85AC-6612A62FE544}">
      <dgm:prSet phldrT="[Text]" custT="1"/>
      <dgm:spPr/>
      <dgm:t>
        <a:bodyPr/>
        <a:lstStyle/>
        <a:p>
          <a:pPr algn="ctr"/>
          <a:r>
            <a:rPr lang="lv-LV" sz="1000"/>
            <a:t>Pārneses sistēma starp piedāvājumu un pieprasījumu</a:t>
          </a:r>
        </a:p>
      </dgm:t>
    </dgm:pt>
    <dgm:pt modelId="{B3260572-F10C-46EC-B81F-3A7C5B13A8B2}" type="parTrans" cxnId="{A428509A-4622-4E6F-8549-F3FD535869F6}">
      <dgm:prSet/>
      <dgm:spPr/>
      <dgm:t>
        <a:bodyPr/>
        <a:lstStyle/>
        <a:p>
          <a:endParaRPr lang="lv-LV" sz="2000"/>
        </a:p>
      </dgm:t>
    </dgm:pt>
    <dgm:pt modelId="{33FD8600-191A-4D6B-97B3-33962D9FC782}" type="sibTrans" cxnId="{A428509A-4622-4E6F-8549-F3FD535869F6}">
      <dgm:prSet/>
      <dgm:spPr/>
      <dgm:t>
        <a:bodyPr/>
        <a:lstStyle/>
        <a:p>
          <a:endParaRPr lang="lv-LV" sz="2000"/>
        </a:p>
      </dgm:t>
    </dgm:pt>
    <dgm:pt modelId="{217FF8D0-FF8D-4A21-934C-A98BC361077A}" type="pres">
      <dgm:prSet presAssocID="{A6868C65-CF37-4F75-8587-2237E21D86A8}" presName="compositeShape" presStyleCnt="0">
        <dgm:presLayoutVars>
          <dgm:chMax val="7"/>
          <dgm:dir/>
          <dgm:resizeHandles val="exact"/>
        </dgm:presLayoutVars>
      </dgm:prSet>
      <dgm:spPr/>
      <dgm:t>
        <a:bodyPr/>
        <a:lstStyle/>
        <a:p>
          <a:endParaRPr lang="lv-LV"/>
        </a:p>
      </dgm:t>
    </dgm:pt>
    <dgm:pt modelId="{C8CEFC9D-36F5-401F-863C-9465277F8981}" type="pres">
      <dgm:prSet presAssocID="{A6868C65-CF37-4F75-8587-2237E21D86A8}" presName="wedge1" presStyleLbl="node1" presStyleIdx="0" presStyleCnt="4"/>
      <dgm:spPr/>
      <dgm:t>
        <a:bodyPr/>
        <a:lstStyle/>
        <a:p>
          <a:endParaRPr lang="lv-LV"/>
        </a:p>
      </dgm:t>
    </dgm:pt>
    <dgm:pt modelId="{AFE844C5-06D0-4C54-98D6-C5670C2E3857}" type="pres">
      <dgm:prSet presAssocID="{A6868C65-CF37-4F75-8587-2237E21D86A8}" presName="dummy1a" presStyleCnt="0"/>
      <dgm:spPr/>
    </dgm:pt>
    <dgm:pt modelId="{6D9126AF-A0ED-49E1-B037-47748BCDCB1D}" type="pres">
      <dgm:prSet presAssocID="{A6868C65-CF37-4F75-8587-2237E21D86A8}" presName="dummy1b" presStyleCnt="0"/>
      <dgm:spPr/>
    </dgm:pt>
    <dgm:pt modelId="{219E2320-B0EA-4B6D-9F24-17A7C79D351D}" type="pres">
      <dgm:prSet presAssocID="{A6868C65-CF37-4F75-8587-2237E21D86A8}" presName="wedge1Tx" presStyleLbl="node1" presStyleIdx="0" presStyleCnt="4">
        <dgm:presLayoutVars>
          <dgm:chMax val="0"/>
          <dgm:chPref val="0"/>
          <dgm:bulletEnabled val="1"/>
        </dgm:presLayoutVars>
      </dgm:prSet>
      <dgm:spPr/>
      <dgm:t>
        <a:bodyPr/>
        <a:lstStyle/>
        <a:p>
          <a:endParaRPr lang="lv-LV"/>
        </a:p>
      </dgm:t>
    </dgm:pt>
    <dgm:pt modelId="{155B6168-6717-4A94-B6FD-5C3BADC76290}" type="pres">
      <dgm:prSet presAssocID="{A6868C65-CF37-4F75-8587-2237E21D86A8}" presName="wedge2" presStyleLbl="node1" presStyleIdx="1" presStyleCnt="4"/>
      <dgm:spPr/>
      <dgm:t>
        <a:bodyPr/>
        <a:lstStyle/>
        <a:p>
          <a:endParaRPr lang="lv-LV"/>
        </a:p>
      </dgm:t>
    </dgm:pt>
    <dgm:pt modelId="{194DABA2-B8FE-42E0-BFCF-585D15A588CB}" type="pres">
      <dgm:prSet presAssocID="{A6868C65-CF37-4F75-8587-2237E21D86A8}" presName="dummy2a" presStyleCnt="0"/>
      <dgm:spPr/>
    </dgm:pt>
    <dgm:pt modelId="{22C5891D-8A8B-4685-B921-96754164ED04}" type="pres">
      <dgm:prSet presAssocID="{A6868C65-CF37-4F75-8587-2237E21D86A8}" presName="dummy2b" presStyleCnt="0"/>
      <dgm:spPr/>
    </dgm:pt>
    <dgm:pt modelId="{6D690524-ACD9-4E08-8308-6904990E6885}" type="pres">
      <dgm:prSet presAssocID="{A6868C65-CF37-4F75-8587-2237E21D86A8}" presName="wedge2Tx" presStyleLbl="node1" presStyleIdx="1" presStyleCnt="4">
        <dgm:presLayoutVars>
          <dgm:chMax val="0"/>
          <dgm:chPref val="0"/>
          <dgm:bulletEnabled val="1"/>
        </dgm:presLayoutVars>
      </dgm:prSet>
      <dgm:spPr/>
      <dgm:t>
        <a:bodyPr/>
        <a:lstStyle/>
        <a:p>
          <a:endParaRPr lang="lv-LV"/>
        </a:p>
      </dgm:t>
    </dgm:pt>
    <dgm:pt modelId="{C75E2CE1-3F93-4632-AF3A-7C0852CD4A85}" type="pres">
      <dgm:prSet presAssocID="{A6868C65-CF37-4F75-8587-2237E21D86A8}" presName="wedge3" presStyleLbl="node1" presStyleIdx="2" presStyleCnt="4"/>
      <dgm:spPr/>
      <dgm:t>
        <a:bodyPr/>
        <a:lstStyle/>
        <a:p>
          <a:endParaRPr lang="lv-LV"/>
        </a:p>
      </dgm:t>
    </dgm:pt>
    <dgm:pt modelId="{53F48669-5D22-4602-B720-DE395C596399}" type="pres">
      <dgm:prSet presAssocID="{A6868C65-CF37-4F75-8587-2237E21D86A8}" presName="dummy3a" presStyleCnt="0"/>
      <dgm:spPr/>
    </dgm:pt>
    <dgm:pt modelId="{FE2E5CFE-D11C-44AD-8A83-C2CFF3E880C1}" type="pres">
      <dgm:prSet presAssocID="{A6868C65-CF37-4F75-8587-2237E21D86A8}" presName="dummy3b" presStyleCnt="0"/>
      <dgm:spPr/>
    </dgm:pt>
    <dgm:pt modelId="{4986BAE2-5616-4E89-B12B-7C1D520EDD10}" type="pres">
      <dgm:prSet presAssocID="{A6868C65-CF37-4F75-8587-2237E21D86A8}" presName="wedge3Tx" presStyleLbl="node1" presStyleIdx="2" presStyleCnt="4">
        <dgm:presLayoutVars>
          <dgm:chMax val="0"/>
          <dgm:chPref val="0"/>
          <dgm:bulletEnabled val="1"/>
        </dgm:presLayoutVars>
      </dgm:prSet>
      <dgm:spPr/>
      <dgm:t>
        <a:bodyPr/>
        <a:lstStyle/>
        <a:p>
          <a:endParaRPr lang="lv-LV"/>
        </a:p>
      </dgm:t>
    </dgm:pt>
    <dgm:pt modelId="{8340A86E-9437-494E-9AAF-F8A44CA5A21D}" type="pres">
      <dgm:prSet presAssocID="{A6868C65-CF37-4F75-8587-2237E21D86A8}" presName="wedge4" presStyleLbl="node1" presStyleIdx="3" presStyleCnt="4"/>
      <dgm:spPr/>
      <dgm:t>
        <a:bodyPr/>
        <a:lstStyle/>
        <a:p>
          <a:endParaRPr lang="lv-LV"/>
        </a:p>
      </dgm:t>
    </dgm:pt>
    <dgm:pt modelId="{53817FE1-D871-4F5A-92D5-121DB408A25E}" type="pres">
      <dgm:prSet presAssocID="{A6868C65-CF37-4F75-8587-2237E21D86A8}" presName="dummy4a" presStyleCnt="0"/>
      <dgm:spPr/>
    </dgm:pt>
    <dgm:pt modelId="{2667F3BB-F12A-42EE-B324-4017A9071307}" type="pres">
      <dgm:prSet presAssocID="{A6868C65-CF37-4F75-8587-2237E21D86A8}" presName="dummy4b" presStyleCnt="0"/>
      <dgm:spPr/>
    </dgm:pt>
    <dgm:pt modelId="{0F47BBB4-4958-4265-B422-3DF01078C50D}" type="pres">
      <dgm:prSet presAssocID="{A6868C65-CF37-4F75-8587-2237E21D86A8}" presName="wedge4Tx" presStyleLbl="node1" presStyleIdx="3" presStyleCnt="4">
        <dgm:presLayoutVars>
          <dgm:chMax val="0"/>
          <dgm:chPref val="0"/>
          <dgm:bulletEnabled val="1"/>
        </dgm:presLayoutVars>
      </dgm:prSet>
      <dgm:spPr/>
      <dgm:t>
        <a:bodyPr/>
        <a:lstStyle/>
        <a:p>
          <a:endParaRPr lang="lv-LV"/>
        </a:p>
      </dgm:t>
    </dgm:pt>
    <dgm:pt modelId="{B3025D91-4779-45CB-BC06-260E0949DCFA}" type="pres">
      <dgm:prSet presAssocID="{85EA8B0E-009F-4076-AC92-29023710DF7E}" presName="arrowWedge1" presStyleLbl="fgSibTrans2D1" presStyleIdx="0" presStyleCnt="4"/>
      <dgm:spPr/>
    </dgm:pt>
    <dgm:pt modelId="{711F3409-3845-4522-8AA2-2532E1616D23}" type="pres">
      <dgm:prSet presAssocID="{36DB90AB-C5E0-47AC-8078-E788BC0FF76E}" presName="arrowWedge2" presStyleLbl="fgSibTrans2D1" presStyleIdx="1" presStyleCnt="4"/>
      <dgm:spPr/>
    </dgm:pt>
    <dgm:pt modelId="{91A98440-EB12-49EE-8F83-AD7A5A85B06D}" type="pres">
      <dgm:prSet presAssocID="{5FCC2180-B120-4611-8531-B5284B928D46}" presName="arrowWedge3" presStyleLbl="fgSibTrans2D1" presStyleIdx="2" presStyleCnt="4"/>
      <dgm:spPr/>
    </dgm:pt>
    <dgm:pt modelId="{3AE43888-24CF-4730-82B7-785C256679F1}" type="pres">
      <dgm:prSet presAssocID="{33FD8600-191A-4D6B-97B3-33962D9FC782}" presName="arrowWedge4" presStyleLbl="fgSibTrans2D1" presStyleIdx="3" presStyleCnt="4"/>
      <dgm:spPr/>
    </dgm:pt>
  </dgm:ptLst>
  <dgm:cxnLst>
    <dgm:cxn modelId="{30BE6D49-6873-4533-AD45-13FF7778F882}" type="presOf" srcId="{2524712F-FE13-4525-85AC-6612A62FE544}" destId="{0F47BBB4-4958-4265-B422-3DF01078C50D}" srcOrd="1" destOrd="0" presId="urn:microsoft.com/office/officeart/2005/8/layout/cycle8"/>
    <dgm:cxn modelId="{6B5B058A-56D6-412D-883F-B75C3DF9557E}" type="presOf" srcId="{A6868C65-CF37-4F75-8587-2237E21D86A8}" destId="{217FF8D0-FF8D-4A21-934C-A98BC361077A}" srcOrd="0" destOrd="0" presId="urn:microsoft.com/office/officeart/2005/8/layout/cycle8"/>
    <dgm:cxn modelId="{67309458-7513-49B6-AF34-A38450A794F8}" type="presOf" srcId="{D5CE858D-12D4-433A-8082-A1B567030F38}" destId="{4986BAE2-5616-4E89-B12B-7C1D520EDD10}" srcOrd="1" destOrd="0" presId="urn:microsoft.com/office/officeart/2005/8/layout/cycle8"/>
    <dgm:cxn modelId="{A6C0E4C9-1DCF-4FDC-A8E3-8D842C334AF5}" type="presOf" srcId="{7E57AF3C-4FF1-4602-BE1F-5D100045AE90}" destId="{219E2320-B0EA-4B6D-9F24-17A7C79D351D}" srcOrd="1" destOrd="0" presId="urn:microsoft.com/office/officeart/2005/8/layout/cycle8"/>
    <dgm:cxn modelId="{8CC1D961-BCF2-4949-9969-5FD8F7AB5FF3}" type="presOf" srcId="{7E57AF3C-4FF1-4602-BE1F-5D100045AE90}" destId="{C8CEFC9D-36F5-401F-863C-9465277F8981}" srcOrd="0" destOrd="0" presId="urn:microsoft.com/office/officeart/2005/8/layout/cycle8"/>
    <dgm:cxn modelId="{5F10BDC1-4DDC-4DEE-9035-8F4621205DC2}" type="presOf" srcId="{D86B8455-E02F-4998-AC09-0891D1BA260E}" destId="{155B6168-6717-4A94-B6FD-5C3BADC76290}" srcOrd="0" destOrd="0" presId="urn:microsoft.com/office/officeart/2005/8/layout/cycle8"/>
    <dgm:cxn modelId="{90CC8250-0671-4FC0-A581-85FEBDF431D4}" srcId="{A6868C65-CF37-4F75-8587-2237E21D86A8}" destId="{7E57AF3C-4FF1-4602-BE1F-5D100045AE90}" srcOrd="0" destOrd="0" parTransId="{230713DE-444F-466D-8E9E-91A58ABD55C0}" sibTransId="{85EA8B0E-009F-4076-AC92-29023710DF7E}"/>
    <dgm:cxn modelId="{D875564C-ADCB-41EF-919B-98868030E59B}" type="presOf" srcId="{2524712F-FE13-4525-85AC-6612A62FE544}" destId="{8340A86E-9437-494E-9AAF-F8A44CA5A21D}" srcOrd="0" destOrd="0" presId="urn:microsoft.com/office/officeart/2005/8/layout/cycle8"/>
    <dgm:cxn modelId="{CAFA2F35-3254-4D38-9854-F59CC9138858}" srcId="{A6868C65-CF37-4F75-8587-2237E21D86A8}" destId="{D86B8455-E02F-4998-AC09-0891D1BA260E}" srcOrd="1" destOrd="0" parTransId="{373ADBBC-0544-4719-A690-455C0265B9BF}" sibTransId="{36DB90AB-C5E0-47AC-8078-E788BC0FF76E}"/>
    <dgm:cxn modelId="{A428509A-4622-4E6F-8549-F3FD535869F6}" srcId="{A6868C65-CF37-4F75-8587-2237E21D86A8}" destId="{2524712F-FE13-4525-85AC-6612A62FE544}" srcOrd="3" destOrd="0" parTransId="{B3260572-F10C-46EC-B81F-3A7C5B13A8B2}" sibTransId="{33FD8600-191A-4D6B-97B3-33962D9FC782}"/>
    <dgm:cxn modelId="{763EFEA6-C4B0-474F-B35C-2BA4C438C849}" type="presOf" srcId="{D5CE858D-12D4-433A-8082-A1B567030F38}" destId="{C75E2CE1-3F93-4632-AF3A-7C0852CD4A85}" srcOrd="0" destOrd="0" presId="urn:microsoft.com/office/officeart/2005/8/layout/cycle8"/>
    <dgm:cxn modelId="{49B34850-37DC-45C8-8926-B435A33BC3EA}" srcId="{A6868C65-CF37-4F75-8587-2237E21D86A8}" destId="{D5CE858D-12D4-433A-8082-A1B567030F38}" srcOrd="2" destOrd="0" parTransId="{1940E449-691D-4D4D-BC7D-2DD5428FF3B5}" sibTransId="{5FCC2180-B120-4611-8531-B5284B928D46}"/>
    <dgm:cxn modelId="{BF5CA9D9-2FE8-46FD-A815-C2E4DCE1B48E}" type="presOf" srcId="{D86B8455-E02F-4998-AC09-0891D1BA260E}" destId="{6D690524-ACD9-4E08-8308-6904990E6885}" srcOrd="1" destOrd="0" presId="urn:microsoft.com/office/officeart/2005/8/layout/cycle8"/>
    <dgm:cxn modelId="{1AEBA632-DA42-4F44-998E-BC617379D2A5}" type="presParOf" srcId="{217FF8D0-FF8D-4A21-934C-A98BC361077A}" destId="{C8CEFC9D-36F5-401F-863C-9465277F8981}" srcOrd="0" destOrd="0" presId="urn:microsoft.com/office/officeart/2005/8/layout/cycle8"/>
    <dgm:cxn modelId="{A01E29F3-7C4B-4348-AC9C-6D08BF1ADCD1}" type="presParOf" srcId="{217FF8D0-FF8D-4A21-934C-A98BC361077A}" destId="{AFE844C5-06D0-4C54-98D6-C5670C2E3857}" srcOrd="1" destOrd="0" presId="urn:microsoft.com/office/officeart/2005/8/layout/cycle8"/>
    <dgm:cxn modelId="{E22E4C14-DD62-419B-A7F2-92A23CB0A73E}" type="presParOf" srcId="{217FF8D0-FF8D-4A21-934C-A98BC361077A}" destId="{6D9126AF-A0ED-49E1-B037-47748BCDCB1D}" srcOrd="2" destOrd="0" presId="urn:microsoft.com/office/officeart/2005/8/layout/cycle8"/>
    <dgm:cxn modelId="{D91E340A-5274-4F59-A220-D28369C71CE9}" type="presParOf" srcId="{217FF8D0-FF8D-4A21-934C-A98BC361077A}" destId="{219E2320-B0EA-4B6D-9F24-17A7C79D351D}" srcOrd="3" destOrd="0" presId="urn:microsoft.com/office/officeart/2005/8/layout/cycle8"/>
    <dgm:cxn modelId="{1192B223-8DFB-4FE7-ACF9-79B53B7D661B}" type="presParOf" srcId="{217FF8D0-FF8D-4A21-934C-A98BC361077A}" destId="{155B6168-6717-4A94-B6FD-5C3BADC76290}" srcOrd="4" destOrd="0" presId="urn:microsoft.com/office/officeart/2005/8/layout/cycle8"/>
    <dgm:cxn modelId="{4C859A39-D6E2-4A69-B4DF-9B2B87F523C1}" type="presParOf" srcId="{217FF8D0-FF8D-4A21-934C-A98BC361077A}" destId="{194DABA2-B8FE-42E0-BFCF-585D15A588CB}" srcOrd="5" destOrd="0" presId="urn:microsoft.com/office/officeart/2005/8/layout/cycle8"/>
    <dgm:cxn modelId="{AB9710A2-D26E-405E-B363-CD454AA2DBE5}" type="presParOf" srcId="{217FF8D0-FF8D-4A21-934C-A98BC361077A}" destId="{22C5891D-8A8B-4685-B921-96754164ED04}" srcOrd="6" destOrd="0" presId="urn:microsoft.com/office/officeart/2005/8/layout/cycle8"/>
    <dgm:cxn modelId="{4104D72A-B28D-44C7-A8A3-0D442DBAE39C}" type="presParOf" srcId="{217FF8D0-FF8D-4A21-934C-A98BC361077A}" destId="{6D690524-ACD9-4E08-8308-6904990E6885}" srcOrd="7" destOrd="0" presId="urn:microsoft.com/office/officeart/2005/8/layout/cycle8"/>
    <dgm:cxn modelId="{99FE782C-A42D-490D-A122-1AD9D7D66D55}" type="presParOf" srcId="{217FF8D0-FF8D-4A21-934C-A98BC361077A}" destId="{C75E2CE1-3F93-4632-AF3A-7C0852CD4A85}" srcOrd="8" destOrd="0" presId="urn:microsoft.com/office/officeart/2005/8/layout/cycle8"/>
    <dgm:cxn modelId="{6A4E1F2B-6760-4D7F-8697-005B6B31197E}" type="presParOf" srcId="{217FF8D0-FF8D-4A21-934C-A98BC361077A}" destId="{53F48669-5D22-4602-B720-DE395C596399}" srcOrd="9" destOrd="0" presId="urn:microsoft.com/office/officeart/2005/8/layout/cycle8"/>
    <dgm:cxn modelId="{911E75A5-AE63-4AE5-A4AE-8441386D8F6B}" type="presParOf" srcId="{217FF8D0-FF8D-4A21-934C-A98BC361077A}" destId="{FE2E5CFE-D11C-44AD-8A83-C2CFF3E880C1}" srcOrd="10" destOrd="0" presId="urn:microsoft.com/office/officeart/2005/8/layout/cycle8"/>
    <dgm:cxn modelId="{C9A679F7-329C-4A29-812E-E7F4907B81CD}" type="presParOf" srcId="{217FF8D0-FF8D-4A21-934C-A98BC361077A}" destId="{4986BAE2-5616-4E89-B12B-7C1D520EDD10}" srcOrd="11" destOrd="0" presId="urn:microsoft.com/office/officeart/2005/8/layout/cycle8"/>
    <dgm:cxn modelId="{E1159AF8-1414-4395-8C16-AD2BE364CB1C}" type="presParOf" srcId="{217FF8D0-FF8D-4A21-934C-A98BC361077A}" destId="{8340A86E-9437-494E-9AAF-F8A44CA5A21D}" srcOrd="12" destOrd="0" presId="urn:microsoft.com/office/officeart/2005/8/layout/cycle8"/>
    <dgm:cxn modelId="{A13851D3-9081-4D97-B5E4-2E367B24D8E3}" type="presParOf" srcId="{217FF8D0-FF8D-4A21-934C-A98BC361077A}" destId="{53817FE1-D871-4F5A-92D5-121DB408A25E}" srcOrd="13" destOrd="0" presId="urn:microsoft.com/office/officeart/2005/8/layout/cycle8"/>
    <dgm:cxn modelId="{0624DDBE-2B6A-4B86-923F-9D410CFFD21A}" type="presParOf" srcId="{217FF8D0-FF8D-4A21-934C-A98BC361077A}" destId="{2667F3BB-F12A-42EE-B324-4017A9071307}" srcOrd="14" destOrd="0" presId="urn:microsoft.com/office/officeart/2005/8/layout/cycle8"/>
    <dgm:cxn modelId="{9DF2761E-427E-4567-A7D8-55C31145016A}" type="presParOf" srcId="{217FF8D0-FF8D-4A21-934C-A98BC361077A}" destId="{0F47BBB4-4958-4265-B422-3DF01078C50D}" srcOrd="15" destOrd="0" presId="urn:microsoft.com/office/officeart/2005/8/layout/cycle8"/>
    <dgm:cxn modelId="{063925D6-7820-4AA9-A81A-CA279132B19C}" type="presParOf" srcId="{217FF8D0-FF8D-4A21-934C-A98BC361077A}" destId="{B3025D91-4779-45CB-BC06-260E0949DCFA}" srcOrd="16" destOrd="0" presId="urn:microsoft.com/office/officeart/2005/8/layout/cycle8"/>
    <dgm:cxn modelId="{4E2A497B-81DE-4E94-A49C-42368A1E57DC}" type="presParOf" srcId="{217FF8D0-FF8D-4A21-934C-A98BC361077A}" destId="{711F3409-3845-4522-8AA2-2532E1616D23}" srcOrd="17" destOrd="0" presId="urn:microsoft.com/office/officeart/2005/8/layout/cycle8"/>
    <dgm:cxn modelId="{140190CA-3EE9-4072-8760-F9EB0A7F9EEB}" type="presParOf" srcId="{217FF8D0-FF8D-4A21-934C-A98BC361077A}" destId="{91A98440-EB12-49EE-8F83-AD7A5A85B06D}" srcOrd="18" destOrd="0" presId="urn:microsoft.com/office/officeart/2005/8/layout/cycle8"/>
    <dgm:cxn modelId="{09B87271-43C4-4B2D-840B-0FFEE1508F35}" type="presParOf" srcId="{217FF8D0-FF8D-4A21-934C-A98BC361077A}" destId="{3AE43888-24CF-4730-82B7-785C256679F1}" srcOrd="19" destOrd="0" presId="urn:microsoft.com/office/officeart/2005/8/layout/cycle8"/>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8CEFC9D-36F5-401F-863C-9465277F8981}">
      <dsp:nvSpPr>
        <dsp:cNvPr id="0" name=""/>
        <dsp:cNvSpPr/>
      </dsp:nvSpPr>
      <dsp:spPr>
        <a:xfrm>
          <a:off x="1703493" y="174468"/>
          <a:ext cx="2453321" cy="2453321"/>
        </a:xfrm>
        <a:prstGeom prst="pie">
          <a:avLst>
            <a:gd name="adj1" fmla="val 16200000"/>
            <a:gd name="adj2" fmla="val 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lv-LV" sz="1200" kern="1200"/>
            <a:t>Zināšanu kapacitāte</a:t>
          </a:r>
        </a:p>
      </dsp:txBody>
      <dsp:txXfrm>
        <a:off x="3005798" y="682949"/>
        <a:ext cx="905392" cy="671742"/>
      </dsp:txXfrm>
    </dsp:sp>
    <dsp:sp modelId="{155B6168-6717-4A94-B6FD-5C3BADC76290}">
      <dsp:nvSpPr>
        <dsp:cNvPr id="0" name=""/>
        <dsp:cNvSpPr/>
      </dsp:nvSpPr>
      <dsp:spPr>
        <a:xfrm>
          <a:off x="1703493" y="256830"/>
          <a:ext cx="2453321" cy="2453321"/>
        </a:xfrm>
        <a:prstGeom prst="pie">
          <a:avLst>
            <a:gd name="adj1" fmla="val 0"/>
            <a:gd name="adj2" fmla="val 5400000"/>
          </a:avLst>
        </a:prstGeom>
        <a:solidFill>
          <a:schemeClr val="accent2">
            <a:hueOff val="1560506"/>
            <a:satOff val="-1946"/>
            <a:lumOff val="45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lv-LV" sz="1200" kern="1200"/>
            <a:t>Inovācijas piedāvājums</a:t>
          </a:r>
        </a:p>
      </dsp:txBody>
      <dsp:txXfrm>
        <a:off x="3005798" y="1529929"/>
        <a:ext cx="905392" cy="671742"/>
      </dsp:txXfrm>
    </dsp:sp>
    <dsp:sp modelId="{C75E2CE1-3F93-4632-AF3A-7C0852CD4A85}">
      <dsp:nvSpPr>
        <dsp:cNvPr id="0" name=""/>
        <dsp:cNvSpPr/>
      </dsp:nvSpPr>
      <dsp:spPr>
        <a:xfrm>
          <a:off x="1621131" y="256830"/>
          <a:ext cx="2453321" cy="2453321"/>
        </a:xfrm>
        <a:prstGeom prst="pie">
          <a:avLst>
            <a:gd name="adj1" fmla="val 5400000"/>
            <a:gd name="adj2" fmla="val 10800000"/>
          </a:avLst>
        </a:prstGeom>
        <a:solidFill>
          <a:schemeClr val="accent2">
            <a:hueOff val="3121013"/>
            <a:satOff val="-3893"/>
            <a:lumOff val="91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lv-LV" sz="1200" kern="1200"/>
            <a:t>Inovācijas pieprasījums</a:t>
          </a:r>
        </a:p>
      </dsp:txBody>
      <dsp:txXfrm>
        <a:off x="1866756" y="1529929"/>
        <a:ext cx="905392" cy="671742"/>
      </dsp:txXfrm>
    </dsp:sp>
    <dsp:sp modelId="{8340A86E-9437-494E-9AAF-F8A44CA5A21D}">
      <dsp:nvSpPr>
        <dsp:cNvPr id="0" name=""/>
        <dsp:cNvSpPr/>
      </dsp:nvSpPr>
      <dsp:spPr>
        <a:xfrm>
          <a:off x="1621131" y="174468"/>
          <a:ext cx="2453321" cy="2453321"/>
        </a:xfrm>
        <a:prstGeom prst="pie">
          <a:avLst>
            <a:gd name="adj1" fmla="val 10800000"/>
            <a:gd name="adj2" fmla="val 16200000"/>
          </a:avLst>
        </a:prstGeom>
        <a:solidFill>
          <a:schemeClr val="accent2">
            <a:hueOff val="4681519"/>
            <a:satOff val="-5839"/>
            <a:lumOff val="137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lv-LV" sz="1000" kern="1200"/>
            <a:t>Pārneses sistēma starp piedāvājumu un pieprasījumu</a:t>
          </a:r>
        </a:p>
      </dsp:txBody>
      <dsp:txXfrm>
        <a:off x="1866756" y="682949"/>
        <a:ext cx="905392" cy="671742"/>
      </dsp:txXfrm>
    </dsp:sp>
    <dsp:sp modelId="{B3025D91-4779-45CB-BC06-260E0949DCFA}">
      <dsp:nvSpPr>
        <dsp:cNvPr id="0" name=""/>
        <dsp:cNvSpPr/>
      </dsp:nvSpPr>
      <dsp:spPr>
        <a:xfrm>
          <a:off x="1551621" y="22596"/>
          <a:ext cx="2757066" cy="2757066"/>
        </a:xfrm>
        <a:prstGeom prst="circularArrow">
          <a:avLst>
            <a:gd name="adj1" fmla="val 5085"/>
            <a:gd name="adj2" fmla="val 327528"/>
            <a:gd name="adj3" fmla="val 21272472"/>
            <a:gd name="adj4" fmla="val 16200000"/>
            <a:gd name="adj5" fmla="val 5932"/>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11F3409-3845-4522-8AA2-2532E1616D23}">
      <dsp:nvSpPr>
        <dsp:cNvPr id="0" name=""/>
        <dsp:cNvSpPr/>
      </dsp:nvSpPr>
      <dsp:spPr>
        <a:xfrm>
          <a:off x="1551621" y="104958"/>
          <a:ext cx="2757066" cy="2757066"/>
        </a:xfrm>
        <a:prstGeom prst="circularArrow">
          <a:avLst>
            <a:gd name="adj1" fmla="val 5085"/>
            <a:gd name="adj2" fmla="val 327528"/>
            <a:gd name="adj3" fmla="val 5072472"/>
            <a:gd name="adj4" fmla="val 0"/>
            <a:gd name="adj5" fmla="val 5932"/>
          </a:avLst>
        </a:prstGeom>
        <a:solidFill>
          <a:schemeClr val="accent2">
            <a:hueOff val="1560506"/>
            <a:satOff val="-1946"/>
            <a:lumOff val="458"/>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1A98440-EB12-49EE-8F83-AD7A5A85B06D}">
      <dsp:nvSpPr>
        <dsp:cNvPr id="0" name=""/>
        <dsp:cNvSpPr/>
      </dsp:nvSpPr>
      <dsp:spPr>
        <a:xfrm>
          <a:off x="1469259" y="104958"/>
          <a:ext cx="2757066" cy="2757066"/>
        </a:xfrm>
        <a:prstGeom prst="circularArrow">
          <a:avLst>
            <a:gd name="adj1" fmla="val 5085"/>
            <a:gd name="adj2" fmla="val 327528"/>
            <a:gd name="adj3" fmla="val 10472472"/>
            <a:gd name="adj4" fmla="val 5400000"/>
            <a:gd name="adj5" fmla="val 5932"/>
          </a:avLst>
        </a:prstGeom>
        <a:solidFill>
          <a:schemeClr val="accent2">
            <a:hueOff val="3121013"/>
            <a:satOff val="-3893"/>
            <a:lumOff val="915"/>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3AE43888-24CF-4730-82B7-785C256679F1}">
      <dsp:nvSpPr>
        <dsp:cNvPr id="0" name=""/>
        <dsp:cNvSpPr/>
      </dsp:nvSpPr>
      <dsp:spPr>
        <a:xfrm>
          <a:off x="1469259" y="22596"/>
          <a:ext cx="2757066" cy="2757066"/>
        </a:xfrm>
        <a:prstGeom prst="circularArrow">
          <a:avLst>
            <a:gd name="adj1" fmla="val 5085"/>
            <a:gd name="adj2" fmla="val 327528"/>
            <a:gd name="adj3" fmla="val 15872472"/>
            <a:gd name="adj4" fmla="val 10800000"/>
            <a:gd name="adj5" fmla="val 5932"/>
          </a:avLst>
        </a:prstGeom>
        <a:solidFill>
          <a:schemeClr val="accent2">
            <a:hueOff val="4681519"/>
            <a:satOff val="-5839"/>
            <a:lumOff val="1373"/>
            <a:alphaOff val="0"/>
          </a:schemeClr>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Profile 9">
    <a:dk1>
      <a:srgbClr val="000000"/>
    </a:dk1>
    <a:lt1>
      <a:srgbClr val="FFFFFF"/>
    </a:lt1>
    <a:dk2>
      <a:srgbClr val="000000"/>
    </a:dk2>
    <a:lt2>
      <a:srgbClr val="DDDDDD"/>
    </a:lt2>
    <a:accent1>
      <a:srgbClr val="A3B2C1"/>
    </a:accent1>
    <a:accent2>
      <a:srgbClr val="CC0000"/>
    </a:accent2>
    <a:accent3>
      <a:srgbClr val="FFFFFF"/>
    </a:accent3>
    <a:accent4>
      <a:srgbClr val="000000"/>
    </a:accent4>
    <a:accent5>
      <a:srgbClr val="CED5DD"/>
    </a:accent5>
    <a:accent6>
      <a:srgbClr val="B90000"/>
    </a:accent6>
    <a:hlink>
      <a:srgbClr val="336699"/>
    </a:hlink>
    <a:folHlink>
      <a:srgbClr val="003366"/>
    </a:folHlink>
  </a:clrScheme>
  <a:fontScheme name="Profile">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Profile 9">
    <a:dk1>
      <a:srgbClr val="000000"/>
    </a:dk1>
    <a:lt1>
      <a:srgbClr val="FFFFFF"/>
    </a:lt1>
    <a:dk2>
      <a:srgbClr val="000000"/>
    </a:dk2>
    <a:lt2>
      <a:srgbClr val="DDDDDD"/>
    </a:lt2>
    <a:accent1>
      <a:srgbClr val="A3B2C1"/>
    </a:accent1>
    <a:accent2>
      <a:srgbClr val="CC0000"/>
    </a:accent2>
    <a:accent3>
      <a:srgbClr val="FFFFFF"/>
    </a:accent3>
    <a:accent4>
      <a:srgbClr val="000000"/>
    </a:accent4>
    <a:accent5>
      <a:srgbClr val="CED5DD"/>
    </a:accent5>
    <a:accent6>
      <a:srgbClr val="B90000"/>
    </a:accent6>
    <a:hlink>
      <a:srgbClr val="336699"/>
    </a:hlink>
    <a:folHlink>
      <a:srgbClr val="003366"/>
    </a:folHlink>
  </a:clrScheme>
  <a:fontScheme name="Profile">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Profile 9">
    <a:dk1>
      <a:srgbClr val="000000"/>
    </a:dk1>
    <a:lt1>
      <a:srgbClr val="FFFFFF"/>
    </a:lt1>
    <a:dk2>
      <a:srgbClr val="000000"/>
    </a:dk2>
    <a:lt2>
      <a:srgbClr val="DDDDDD"/>
    </a:lt2>
    <a:accent1>
      <a:srgbClr val="A3B2C1"/>
    </a:accent1>
    <a:accent2>
      <a:srgbClr val="CC0000"/>
    </a:accent2>
    <a:accent3>
      <a:srgbClr val="FFFFFF"/>
    </a:accent3>
    <a:accent4>
      <a:srgbClr val="000000"/>
    </a:accent4>
    <a:accent5>
      <a:srgbClr val="CED5DD"/>
    </a:accent5>
    <a:accent6>
      <a:srgbClr val="B90000"/>
    </a:accent6>
    <a:hlink>
      <a:srgbClr val="336699"/>
    </a:hlink>
    <a:folHlink>
      <a:srgbClr val="003366"/>
    </a:folHlink>
  </a:clrScheme>
  <a:fontScheme name="Profile">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Profile 9">
    <a:dk1>
      <a:srgbClr val="000000"/>
    </a:dk1>
    <a:lt1>
      <a:srgbClr val="FFFFFF"/>
    </a:lt1>
    <a:dk2>
      <a:srgbClr val="000000"/>
    </a:dk2>
    <a:lt2>
      <a:srgbClr val="DDDDDD"/>
    </a:lt2>
    <a:accent1>
      <a:srgbClr val="A3B2C1"/>
    </a:accent1>
    <a:accent2>
      <a:srgbClr val="CC0000"/>
    </a:accent2>
    <a:accent3>
      <a:srgbClr val="FFFFFF"/>
    </a:accent3>
    <a:accent4>
      <a:srgbClr val="000000"/>
    </a:accent4>
    <a:accent5>
      <a:srgbClr val="CED5DD"/>
    </a:accent5>
    <a:accent6>
      <a:srgbClr val="B90000"/>
    </a:accent6>
    <a:hlink>
      <a:srgbClr val="336699"/>
    </a:hlink>
    <a:folHlink>
      <a:srgbClr val="003366"/>
    </a:folHlink>
  </a:clrScheme>
  <a:fontScheme name="Profile">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006DCE952D18C4C8797ABCF7BD31AC4" ma:contentTypeVersion="0" ma:contentTypeDescription="Create a new document." ma:contentTypeScope="" ma:versionID="75ad9c82ca7224f6390a8ec23f4d1bcd">
  <xsd:schema xmlns:xsd="http://www.w3.org/2001/XMLSchema" xmlns:xs="http://www.w3.org/2001/XMLSchema" xmlns:p="http://schemas.microsoft.com/office/2006/metadata/properties" targetNamespace="http://schemas.microsoft.com/office/2006/metadata/properties" ma:root="true" ma:fieldsID="394ef9a2152481c3281d77549d5d03b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375FC3-4ECB-4DF1-8C1E-88215C9FC9DA}"/>
</file>

<file path=customXml/itemProps2.xml><?xml version="1.0" encoding="utf-8"?>
<ds:datastoreItem xmlns:ds="http://schemas.openxmlformats.org/officeDocument/2006/customXml" ds:itemID="{644B4006-1A68-4667-863B-23C632EC8095}"/>
</file>

<file path=customXml/itemProps3.xml><?xml version="1.0" encoding="utf-8"?>
<ds:datastoreItem xmlns:ds="http://schemas.openxmlformats.org/officeDocument/2006/customXml" ds:itemID="{0F6C100E-7780-43ED-AE83-2FAC5B927E32}"/>
</file>

<file path=customXml/itemProps4.xml><?xml version="1.0" encoding="utf-8"?>
<ds:datastoreItem xmlns:ds="http://schemas.openxmlformats.org/officeDocument/2006/customXml" ds:itemID="{F16C0BB6-E9C6-4EC4-8682-DCD102D8D2FB}"/>
</file>

<file path=docProps/app.xml><?xml version="1.0" encoding="utf-8"?>
<Properties xmlns="http://schemas.openxmlformats.org/officeDocument/2006/extended-properties" xmlns:vt="http://schemas.openxmlformats.org/officeDocument/2006/docPropsVTypes">
  <Template>Normal</Template>
  <TotalTime>378</TotalTime>
  <Pages>41</Pages>
  <Words>63053</Words>
  <Characters>35941</Characters>
  <Application>Microsoft Office Word</Application>
  <DocSecurity>0</DocSecurity>
  <Lines>299</Lines>
  <Paragraphs>197</Paragraphs>
  <ScaleCrop>false</ScaleCrop>
  <HeadingPairs>
    <vt:vector size="2" baseType="variant">
      <vt:variant>
        <vt:lpstr>Title</vt:lpstr>
      </vt:variant>
      <vt:variant>
        <vt:i4>1</vt:i4>
      </vt:variant>
    </vt:vector>
  </HeadingPairs>
  <TitlesOfParts>
    <vt:vector size="1" baseType="lpstr">
      <vt:lpstr>Pamatnostādņu projekts "Nacionālās industriālās politikas pamatnostādnes 2013.-2020.gadam"</vt:lpstr>
    </vt:vector>
  </TitlesOfParts>
  <Company/>
  <LinksUpToDate>false</LinksUpToDate>
  <CharactersWithSpaces>98797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Pamatnostādņu projekts "Nacionālās industriālās politikas pamatnostādnes 2013.-2020.gadam"</dc:title>
  <dc:subject>Informatīvā daļa</dc:subject>
  <dc:creator>Kristaps Soms</dc:creator>
  <dc:description>Kristaps Soms
67013299
kristaps.soms@em.gov.lv</dc:description>
  <cp:lastModifiedBy>Kristaps Soms</cp:lastModifiedBy>
  <cp:revision>44</cp:revision>
  <cp:lastPrinted>2013-04-16T08:22:00Z</cp:lastPrinted>
  <dcterms:created xsi:type="dcterms:W3CDTF">2013-03-26T18:10:00Z</dcterms:created>
  <dcterms:modified xsi:type="dcterms:W3CDTF">2013-04-26T06:49:00Z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0x0101006006DCE952D18C4C8797ABCF7BD31AC4</vt:lpwstr>
  </property>
  <property fmtid="{D5CDD505-2E9C-101B-9397-08002B2CF9AE}" pid="3" name="IsMyDocuments">
    <vt:bool>true</vt:bool>
  </property>
</Properties>
</file>