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31242" w14:textId="77777777" w:rsidR="00405C96" w:rsidRPr="00405C96" w:rsidRDefault="00405C96" w:rsidP="00405C96">
      <w:pPr>
        <w:numPr>
          <w:ilvl w:val="0"/>
          <w:numId w:val="1"/>
        </w:numPr>
        <w:shd w:val="clear" w:color="auto" w:fill="000000"/>
        <w:spacing w:after="0" w:line="360" w:lineRule="auto"/>
        <w:ind w:left="0" w:right="45"/>
        <w:rPr>
          <w:rFonts w:ascii="Verdana" w:eastAsia="Times New Roman" w:hAnsi="Verdana" w:cs="Times New Roman"/>
          <w:sz w:val="18"/>
          <w:szCs w:val="18"/>
          <w:lang w:val="en" w:eastAsia="lv-LV"/>
        </w:rPr>
      </w:pPr>
      <w:r w:rsidRPr="00405C96">
        <w:rPr>
          <w:rFonts w:ascii="Verdana" w:eastAsia="Times New Roman" w:hAnsi="Verdana" w:cs="Times New Roman"/>
          <w:sz w:val="18"/>
          <w:szCs w:val="18"/>
          <w:lang w:val="en" w:eastAsia="lv-LV"/>
        </w:rPr>
        <w:fldChar w:fldCharType="begin"/>
      </w:r>
      <w:r w:rsidRPr="00405C96">
        <w:rPr>
          <w:rFonts w:ascii="Verdana" w:eastAsia="Times New Roman" w:hAnsi="Verdana" w:cs="Times New Roman"/>
          <w:sz w:val="18"/>
          <w:szCs w:val="18"/>
          <w:lang w:val="en" w:eastAsia="lv-LV"/>
        </w:rPr>
        <w:instrText xml:space="preserve"> HYPERLINK "http://www.conferenz.co.nz/events/email-alerts" \o "Subscribe to Email Alerts" </w:instrText>
      </w:r>
      <w:r w:rsidRPr="00405C96">
        <w:rPr>
          <w:rFonts w:ascii="Verdana" w:eastAsia="Times New Roman" w:hAnsi="Verdana" w:cs="Times New Roman"/>
          <w:sz w:val="18"/>
          <w:szCs w:val="18"/>
          <w:lang w:val="en" w:eastAsia="lv-LV"/>
        </w:rPr>
        <w:fldChar w:fldCharType="separate"/>
      </w:r>
      <w:r w:rsidRPr="00405C96">
        <w:rPr>
          <w:rFonts w:ascii="Verdana" w:eastAsia="Times New Roman" w:hAnsi="Verdana" w:cs="Times New Roman"/>
          <w:color w:val="0198DA"/>
          <w:sz w:val="18"/>
          <w:szCs w:val="18"/>
          <w:lang w:val="en" w:eastAsia="lv-LV"/>
        </w:rPr>
        <w:t>Email Alerts</w:t>
      </w:r>
      <w:r w:rsidRPr="00405C96">
        <w:rPr>
          <w:rFonts w:ascii="Verdana" w:eastAsia="Times New Roman" w:hAnsi="Verdana" w:cs="Times New Roman"/>
          <w:sz w:val="18"/>
          <w:szCs w:val="18"/>
          <w:lang w:val="en" w:eastAsia="lv-LV"/>
        </w:rPr>
        <w:fldChar w:fldCharType="end"/>
      </w:r>
    </w:p>
    <w:p w14:paraId="07D00FB3" w14:textId="77777777" w:rsidR="00405C96" w:rsidRPr="00405C96" w:rsidRDefault="00405C96" w:rsidP="00405C96">
      <w:pPr>
        <w:numPr>
          <w:ilvl w:val="0"/>
          <w:numId w:val="1"/>
        </w:numPr>
        <w:shd w:val="clear" w:color="auto" w:fill="000000"/>
        <w:spacing w:after="0" w:line="360" w:lineRule="auto"/>
        <w:ind w:left="0" w:right="45"/>
        <w:rPr>
          <w:rFonts w:ascii="Verdana" w:eastAsia="Times New Roman" w:hAnsi="Verdana" w:cs="Times New Roman"/>
          <w:sz w:val="18"/>
          <w:szCs w:val="18"/>
          <w:lang w:val="en" w:eastAsia="lv-LV"/>
        </w:rPr>
      </w:pPr>
      <w:hyperlink r:id="rId5" w:tgtFrame="_blank" w:tooltip="Connect on LinkedIn" w:history="1">
        <w:r w:rsidRPr="00405C96">
          <w:rPr>
            <w:rFonts w:ascii="Verdana" w:eastAsia="Times New Roman" w:hAnsi="Verdana" w:cs="Times New Roman"/>
            <w:color w:val="0198DA"/>
            <w:sz w:val="18"/>
            <w:szCs w:val="18"/>
            <w:lang w:val="en" w:eastAsia="lv-LV"/>
          </w:rPr>
          <w:t>LinkedIn</w:t>
        </w:r>
      </w:hyperlink>
    </w:p>
    <w:p w14:paraId="53F6EF76" w14:textId="77777777" w:rsidR="00405C96" w:rsidRPr="00405C96" w:rsidRDefault="00405C96" w:rsidP="00405C96">
      <w:pPr>
        <w:numPr>
          <w:ilvl w:val="0"/>
          <w:numId w:val="1"/>
        </w:numPr>
        <w:shd w:val="clear" w:color="auto" w:fill="000000"/>
        <w:spacing w:after="0" w:line="360" w:lineRule="auto"/>
        <w:ind w:left="0" w:right="45"/>
        <w:rPr>
          <w:rFonts w:ascii="Verdana" w:eastAsia="Times New Roman" w:hAnsi="Verdana" w:cs="Times New Roman"/>
          <w:sz w:val="18"/>
          <w:szCs w:val="18"/>
          <w:lang w:val="en" w:eastAsia="lv-LV"/>
        </w:rPr>
      </w:pPr>
      <w:hyperlink r:id="rId6" w:tgtFrame="_blank" w:tooltip="Follow on Twitter" w:history="1">
        <w:r w:rsidRPr="00405C96">
          <w:rPr>
            <w:rFonts w:ascii="Verdana" w:eastAsia="Times New Roman" w:hAnsi="Verdana" w:cs="Times New Roman"/>
            <w:color w:val="0198DA"/>
            <w:sz w:val="18"/>
            <w:szCs w:val="18"/>
            <w:lang w:val="en" w:eastAsia="lv-LV"/>
          </w:rPr>
          <w:t>Twitter</w:t>
        </w:r>
      </w:hyperlink>
    </w:p>
    <w:p w14:paraId="434D6CDD" w14:textId="77777777" w:rsidR="00405C96" w:rsidRPr="00405C96" w:rsidRDefault="00405C96" w:rsidP="00405C96">
      <w:pPr>
        <w:numPr>
          <w:ilvl w:val="0"/>
          <w:numId w:val="1"/>
        </w:numPr>
        <w:shd w:val="clear" w:color="auto" w:fill="000000"/>
        <w:spacing w:after="0" w:line="360" w:lineRule="auto"/>
        <w:ind w:left="0" w:right="45"/>
        <w:rPr>
          <w:rFonts w:ascii="Verdana" w:eastAsia="Times New Roman" w:hAnsi="Verdana" w:cs="Times New Roman"/>
          <w:sz w:val="18"/>
          <w:szCs w:val="18"/>
          <w:lang w:val="en" w:eastAsia="lv-LV"/>
        </w:rPr>
      </w:pPr>
      <w:hyperlink r:id="rId7" w:tgtFrame="_blank" w:tooltip="Like on Facebook" w:history="1">
        <w:r w:rsidRPr="00405C96">
          <w:rPr>
            <w:rFonts w:ascii="Verdana" w:eastAsia="Times New Roman" w:hAnsi="Verdana" w:cs="Times New Roman"/>
            <w:color w:val="0198DA"/>
            <w:sz w:val="18"/>
            <w:szCs w:val="18"/>
            <w:lang w:val="en" w:eastAsia="lv-LV"/>
          </w:rPr>
          <w:t>Facebook</w:t>
        </w:r>
      </w:hyperlink>
    </w:p>
    <w:p w14:paraId="0C5642D0" w14:textId="77777777" w:rsidR="00405C96" w:rsidRPr="00405C96" w:rsidRDefault="00405C96" w:rsidP="00405C96">
      <w:pPr>
        <w:numPr>
          <w:ilvl w:val="0"/>
          <w:numId w:val="1"/>
        </w:numPr>
        <w:shd w:val="clear" w:color="auto" w:fill="000000"/>
        <w:spacing w:after="0" w:line="360" w:lineRule="auto"/>
        <w:ind w:left="0" w:right="45"/>
        <w:rPr>
          <w:rFonts w:ascii="Verdana" w:eastAsia="Times New Roman" w:hAnsi="Verdana" w:cs="Times New Roman"/>
          <w:sz w:val="18"/>
          <w:szCs w:val="18"/>
          <w:lang w:val="en" w:eastAsia="lv-LV"/>
        </w:rPr>
      </w:pPr>
      <w:hyperlink r:id="rId8" w:tgtFrame="_blank" w:tooltip="Subscribe on YouTube" w:history="1">
        <w:r w:rsidRPr="00405C96">
          <w:rPr>
            <w:rFonts w:ascii="Verdana" w:eastAsia="Times New Roman" w:hAnsi="Verdana" w:cs="Times New Roman"/>
            <w:color w:val="0198DA"/>
            <w:sz w:val="18"/>
            <w:szCs w:val="18"/>
            <w:lang w:val="en" w:eastAsia="lv-LV"/>
          </w:rPr>
          <w:t>YouTube</w:t>
        </w:r>
      </w:hyperlink>
    </w:p>
    <w:p w14:paraId="644DE7F2" w14:textId="77777777" w:rsidR="00405C96" w:rsidRPr="00405C96" w:rsidRDefault="00405C96" w:rsidP="00405C96">
      <w:pPr>
        <w:numPr>
          <w:ilvl w:val="0"/>
          <w:numId w:val="1"/>
        </w:numPr>
        <w:shd w:val="clear" w:color="auto" w:fill="000000"/>
        <w:spacing w:after="0" w:line="360" w:lineRule="auto"/>
        <w:ind w:left="0" w:right="45"/>
        <w:rPr>
          <w:rFonts w:ascii="Verdana" w:eastAsia="Times New Roman" w:hAnsi="Verdana" w:cs="Times New Roman"/>
          <w:sz w:val="18"/>
          <w:szCs w:val="18"/>
          <w:lang w:val="en" w:eastAsia="lv-LV"/>
        </w:rPr>
      </w:pPr>
      <w:hyperlink r:id="rId9" w:tgtFrame="_blank" w:tooltip="Add on Google+" w:history="1">
        <w:r w:rsidRPr="00405C96">
          <w:rPr>
            <w:rFonts w:ascii="Verdana" w:eastAsia="Times New Roman" w:hAnsi="Verdana" w:cs="Times New Roman"/>
            <w:color w:val="0198DA"/>
            <w:sz w:val="18"/>
            <w:szCs w:val="18"/>
            <w:lang w:val="en" w:eastAsia="lv-LV"/>
          </w:rPr>
          <w:t>Google+</w:t>
        </w:r>
      </w:hyperlink>
    </w:p>
    <w:p w14:paraId="1BC82C92" w14:textId="77777777" w:rsidR="00405C96" w:rsidRPr="00405C96" w:rsidRDefault="00405C96" w:rsidP="00405C96">
      <w:pPr>
        <w:numPr>
          <w:ilvl w:val="0"/>
          <w:numId w:val="1"/>
        </w:numPr>
        <w:shd w:val="clear" w:color="auto" w:fill="000000"/>
        <w:spacing w:after="0" w:line="360" w:lineRule="auto"/>
        <w:ind w:left="0" w:right="45"/>
        <w:rPr>
          <w:rFonts w:ascii="Verdana" w:eastAsia="Times New Roman" w:hAnsi="Verdana" w:cs="Times New Roman"/>
          <w:sz w:val="18"/>
          <w:szCs w:val="18"/>
          <w:lang w:val="en" w:eastAsia="lv-LV"/>
        </w:rPr>
      </w:pPr>
      <w:hyperlink r:id="rId10" w:tgtFrame="_blank" w:tooltip="Read our blog" w:history="1">
        <w:r w:rsidRPr="00405C96">
          <w:rPr>
            <w:rFonts w:ascii="Verdana" w:eastAsia="Times New Roman" w:hAnsi="Verdana" w:cs="Times New Roman"/>
            <w:color w:val="0198DA"/>
            <w:sz w:val="18"/>
            <w:szCs w:val="18"/>
            <w:lang w:val="en" w:eastAsia="lv-LV"/>
          </w:rPr>
          <w:t>WordPress</w:t>
        </w:r>
      </w:hyperlink>
    </w:p>
    <w:p w14:paraId="6962A7F7" w14:textId="77777777" w:rsidR="00405C96" w:rsidRPr="00405C96" w:rsidRDefault="00405C96" w:rsidP="00405C96">
      <w:pPr>
        <w:pBdr>
          <w:bottom w:val="single" w:sz="6" w:space="1" w:color="auto"/>
        </w:pBdr>
        <w:spacing w:after="0" w:line="240" w:lineRule="auto"/>
        <w:jc w:val="center"/>
        <w:rPr>
          <w:rFonts w:ascii="Arial" w:eastAsia="Times New Roman" w:hAnsi="Arial" w:cs="Arial"/>
          <w:vanish/>
          <w:sz w:val="16"/>
          <w:szCs w:val="16"/>
          <w:lang w:eastAsia="lv-LV"/>
        </w:rPr>
      </w:pPr>
      <w:r w:rsidRPr="00405C96">
        <w:rPr>
          <w:rFonts w:ascii="Arial" w:eastAsia="Times New Roman" w:hAnsi="Arial" w:cs="Arial"/>
          <w:vanish/>
          <w:sz w:val="16"/>
          <w:szCs w:val="16"/>
          <w:lang w:eastAsia="lv-LV"/>
        </w:rPr>
        <w:t>Top of Form</w:t>
      </w:r>
    </w:p>
    <w:p w14:paraId="08D2A126" w14:textId="77777777" w:rsidR="00405C96" w:rsidRPr="00405C96" w:rsidRDefault="00405C96" w:rsidP="00405C96">
      <w:pPr>
        <w:shd w:val="clear" w:color="auto" w:fill="000000"/>
        <w:spacing w:after="0" w:line="360" w:lineRule="auto"/>
        <w:rPr>
          <w:rFonts w:ascii="Verdana" w:eastAsia="Times New Roman" w:hAnsi="Verdana" w:cs="Times New Roman"/>
          <w:sz w:val="18"/>
          <w:szCs w:val="18"/>
          <w:lang w:val="en" w:eastAsia="lv-LV"/>
        </w:rPr>
      </w:pPr>
      <w:r w:rsidRPr="00405C96">
        <w:rPr>
          <w:rFonts w:ascii="Verdana" w:eastAsia="Times New Roman" w:hAnsi="Verdana" w:cs="Times New Roman"/>
          <w:sz w:val="18"/>
          <w:szCs w:val="18"/>
          <w:lang w:val="en" w:eastAsia="lv-LV"/>
        </w:rPr>
        <w:t xml:space="preserve">Search our 296 upcoming </w:t>
      </w:r>
      <w:proofErr w:type="gramStart"/>
      <w:r w:rsidRPr="00405C96">
        <w:rPr>
          <w:rFonts w:ascii="Verdana" w:eastAsia="Times New Roman" w:hAnsi="Verdana" w:cs="Times New Roman"/>
          <w:sz w:val="18"/>
          <w:szCs w:val="18"/>
          <w:lang w:val="en" w:eastAsia="lv-LV"/>
        </w:rPr>
        <w:t>events ...</w:t>
      </w:r>
      <w:proofErr w:type="gramEnd"/>
      <w:r w:rsidRPr="00405C96">
        <w:rPr>
          <w:rFonts w:ascii="Verdana" w:eastAsia="Times New Roman" w:hAnsi="Verdana" w:cs="Times New Roman"/>
          <w:sz w:val="18"/>
          <w:szCs w:val="18"/>
          <w:lang w:val="en" w:eastAsia="lv-LV"/>
        </w:rPr>
        <w:t xml:space="preserve"> </w:t>
      </w:r>
      <w:r w:rsidRPr="00405C96">
        <w:rPr>
          <w:rFonts w:ascii="Verdana" w:eastAsia="Times New Roman" w:hAnsi="Verdana" w:cs="Times New Roman"/>
          <w:sz w:val="18"/>
          <w:szCs w:val="18"/>
          <w:lang w:val="en" w:eastAsia="lv-LV"/>
        </w:rPr>
        <w:object w:dxaOrig="1440" w:dyaOrig="1440" w14:anchorId="648814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61.25pt;height:18pt" o:ole="">
            <v:imagedata r:id="rId11" o:title=""/>
          </v:shape>
          <w:control r:id="rId12" w:name="DefaultOcxName" w:shapeid="_x0000_i1033"/>
        </w:object>
      </w:r>
    </w:p>
    <w:p w14:paraId="137CF04C" w14:textId="77777777" w:rsidR="00405C96" w:rsidRPr="00405C96" w:rsidRDefault="00405C96" w:rsidP="00405C96">
      <w:pPr>
        <w:pBdr>
          <w:top w:val="single" w:sz="6" w:space="1" w:color="auto"/>
        </w:pBdr>
        <w:spacing w:after="100" w:line="240" w:lineRule="auto"/>
        <w:jc w:val="center"/>
        <w:rPr>
          <w:rFonts w:ascii="Arial" w:eastAsia="Times New Roman" w:hAnsi="Arial" w:cs="Arial"/>
          <w:vanish/>
          <w:sz w:val="16"/>
          <w:szCs w:val="16"/>
          <w:lang w:eastAsia="lv-LV"/>
        </w:rPr>
      </w:pPr>
      <w:r w:rsidRPr="00405C96">
        <w:rPr>
          <w:rFonts w:ascii="Arial" w:eastAsia="Times New Roman" w:hAnsi="Arial" w:cs="Arial"/>
          <w:vanish/>
          <w:sz w:val="16"/>
          <w:szCs w:val="16"/>
          <w:lang w:eastAsia="lv-LV"/>
        </w:rPr>
        <w:t>Bottom of Form</w:t>
      </w:r>
    </w:p>
    <w:p w14:paraId="3B1B3DA5" w14:textId="77777777" w:rsidR="00405C96" w:rsidRPr="00405C96" w:rsidRDefault="00405C96" w:rsidP="00405C96">
      <w:pPr>
        <w:spacing w:before="180" w:after="0" w:line="312" w:lineRule="atLeast"/>
        <w:ind w:left="150"/>
        <w:textAlignment w:val="top"/>
        <w:outlineLvl w:val="1"/>
        <w:rPr>
          <w:rFonts w:ascii="Helvetica" w:eastAsia="Times New Roman" w:hAnsi="Helvetica" w:cs="Helvetica"/>
          <w:b/>
          <w:bCs/>
          <w:kern w:val="36"/>
          <w:sz w:val="48"/>
          <w:szCs w:val="48"/>
          <w:lang w:val="en" w:eastAsia="lv-LV"/>
        </w:rPr>
      </w:pPr>
      <w:r w:rsidRPr="00405C96">
        <w:rPr>
          <w:rFonts w:ascii="Helvetica" w:eastAsia="Times New Roman" w:hAnsi="Helvetica" w:cs="Helvetica"/>
          <w:b/>
          <w:bCs/>
          <w:noProof/>
          <w:color w:val="0198DA"/>
          <w:kern w:val="36"/>
          <w:sz w:val="48"/>
          <w:szCs w:val="48"/>
          <w:lang w:eastAsia="lv-LV"/>
        </w:rPr>
        <w:drawing>
          <wp:inline distT="0" distB="0" distL="0" distR="0" wp14:anchorId="539953B2" wp14:editId="3C2CB931">
            <wp:extent cx="1733550" cy="476250"/>
            <wp:effectExtent l="0" t="0" r="0" b="0"/>
            <wp:docPr id="1" name="Picture 1" descr="New Public Management, New Millennium, New Zealan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ublic Management, New Millennium, New Zealand">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33550" cy="476250"/>
                    </a:xfrm>
                    <a:prstGeom prst="rect">
                      <a:avLst/>
                    </a:prstGeom>
                    <a:noFill/>
                    <a:ln>
                      <a:noFill/>
                    </a:ln>
                  </pic:spPr>
                </pic:pic>
              </a:graphicData>
            </a:graphic>
          </wp:inline>
        </w:drawing>
      </w:r>
    </w:p>
    <w:p w14:paraId="1F18B8F6" w14:textId="77777777" w:rsidR="00405C96" w:rsidRPr="00405C96" w:rsidRDefault="00405C96" w:rsidP="00405C96">
      <w:pPr>
        <w:numPr>
          <w:ilvl w:val="0"/>
          <w:numId w:val="2"/>
        </w:numPr>
        <w:spacing w:after="0" w:line="360" w:lineRule="auto"/>
        <w:ind w:left="150"/>
        <w:textAlignment w:val="top"/>
        <w:rPr>
          <w:rFonts w:ascii="Verdana" w:eastAsia="Times New Roman" w:hAnsi="Verdana" w:cs="Times New Roman"/>
          <w:sz w:val="19"/>
          <w:szCs w:val="19"/>
          <w:lang w:val="en" w:eastAsia="lv-LV"/>
        </w:rPr>
      </w:pPr>
      <w:hyperlink r:id="rId15" w:tooltip="Return to home page" w:history="1">
        <w:r w:rsidRPr="00405C96">
          <w:rPr>
            <w:rFonts w:ascii="Verdana" w:eastAsia="Times New Roman" w:hAnsi="Verdana" w:cs="Times New Roman"/>
            <w:b/>
            <w:bCs/>
            <w:color w:val="4F4F4F"/>
            <w:sz w:val="19"/>
            <w:szCs w:val="19"/>
            <w:lang w:val="en" w:eastAsia="lv-LV"/>
          </w:rPr>
          <w:t>Home</w:t>
        </w:r>
      </w:hyperlink>
    </w:p>
    <w:p w14:paraId="127C7CED" w14:textId="77777777" w:rsidR="00405C96" w:rsidRPr="00405C96" w:rsidRDefault="00405C96" w:rsidP="00405C96">
      <w:pPr>
        <w:numPr>
          <w:ilvl w:val="0"/>
          <w:numId w:val="3"/>
        </w:numPr>
        <w:spacing w:after="0" w:line="360" w:lineRule="auto"/>
        <w:ind w:left="150"/>
        <w:textAlignment w:val="top"/>
        <w:rPr>
          <w:rFonts w:ascii="Verdana" w:eastAsia="Times New Roman" w:hAnsi="Verdana" w:cs="Times New Roman"/>
          <w:sz w:val="19"/>
          <w:szCs w:val="19"/>
          <w:lang w:val="en" w:eastAsia="lv-LV"/>
        </w:rPr>
      </w:pPr>
      <w:hyperlink r:id="rId16" w:tooltip="All conferences and training courses" w:history="1">
        <w:r w:rsidRPr="00405C96">
          <w:rPr>
            <w:rFonts w:ascii="Verdana" w:eastAsia="Times New Roman" w:hAnsi="Verdana" w:cs="Times New Roman"/>
            <w:b/>
            <w:bCs/>
            <w:color w:val="4F4F4F"/>
            <w:sz w:val="19"/>
            <w:szCs w:val="19"/>
            <w:lang w:val="en" w:eastAsia="lv-LV"/>
          </w:rPr>
          <w:t>Events</w:t>
        </w:r>
      </w:hyperlink>
    </w:p>
    <w:p w14:paraId="4CD1557B" w14:textId="77777777" w:rsidR="00405C96" w:rsidRPr="00405C96" w:rsidRDefault="00405C96" w:rsidP="00405C96">
      <w:pPr>
        <w:numPr>
          <w:ilvl w:val="1"/>
          <w:numId w:val="4"/>
        </w:numPr>
        <w:pBdr>
          <w:bottom w:val="single" w:sz="6" w:space="0" w:color="999999"/>
        </w:pBdr>
        <w:shd w:val="clear" w:color="auto" w:fill="444444"/>
        <w:spacing w:after="0" w:line="360" w:lineRule="auto"/>
        <w:ind w:left="0" w:right="15"/>
        <w:textAlignment w:val="top"/>
        <w:rPr>
          <w:rFonts w:ascii="Verdana" w:eastAsia="Times New Roman" w:hAnsi="Verdana" w:cs="Times New Roman"/>
          <w:sz w:val="17"/>
          <w:szCs w:val="17"/>
          <w:lang w:val="en" w:eastAsia="lv-LV"/>
        </w:rPr>
      </w:pPr>
      <w:hyperlink r:id="rId17" w:tooltip="Find all conferences" w:history="1">
        <w:r w:rsidRPr="00405C96">
          <w:rPr>
            <w:rFonts w:ascii="Verdana" w:eastAsia="Times New Roman" w:hAnsi="Verdana" w:cs="Times New Roman"/>
            <w:b/>
            <w:bCs/>
            <w:color w:val="BBBBBB"/>
            <w:sz w:val="17"/>
            <w:szCs w:val="17"/>
            <w:lang w:val="en" w:eastAsia="lv-LV"/>
          </w:rPr>
          <w:t>Conferences</w:t>
        </w:r>
      </w:hyperlink>
    </w:p>
    <w:p w14:paraId="15C9312B" w14:textId="77777777" w:rsidR="00405C96" w:rsidRPr="00405C96" w:rsidRDefault="00405C96" w:rsidP="00405C96">
      <w:pPr>
        <w:numPr>
          <w:ilvl w:val="1"/>
          <w:numId w:val="4"/>
        </w:numPr>
        <w:pBdr>
          <w:bottom w:val="single" w:sz="6" w:space="0" w:color="999999"/>
        </w:pBdr>
        <w:shd w:val="clear" w:color="auto" w:fill="444444"/>
        <w:spacing w:after="0" w:line="360" w:lineRule="auto"/>
        <w:ind w:left="0" w:right="15"/>
        <w:textAlignment w:val="top"/>
        <w:rPr>
          <w:rFonts w:ascii="Verdana" w:eastAsia="Times New Roman" w:hAnsi="Verdana" w:cs="Times New Roman"/>
          <w:sz w:val="17"/>
          <w:szCs w:val="17"/>
          <w:lang w:val="en" w:eastAsia="lv-LV"/>
        </w:rPr>
      </w:pPr>
      <w:hyperlink r:id="rId18" w:tooltip="Find training courses" w:history="1">
        <w:r w:rsidRPr="00405C96">
          <w:rPr>
            <w:rFonts w:ascii="Verdana" w:eastAsia="Times New Roman" w:hAnsi="Verdana" w:cs="Times New Roman"/>
            <w:b/>
            <w:bCs/>
            <w:color w:val="BBBBBB"/>
            <w:sz w:val="17"/>
            <w:szCs w:val="17"/>
            <w:lang w:val="en" w:eastAsia="lv-LV"/>
          </w:rPr>
          <w:t>Training</w:t>
        </w:r>
      </w:hyperlink>
    </w:p>
    <w:p w14:paraId="626FFE29" w14:textId="77777777" w:rsidR="00405C96" w:rsidRPr="00405C96" w:rsidRDefault="00405C96" w:rsidP="00405C96">
      <w:pPr>
        <w:numPr>
          <w:ilvl w:val="1"/>
          <w:numId w:val="4"/>
        </w:numPr>
        <w:pBdr>
          <w:bottom w:val="single" w:sz="6" w:space="0" w:color="999999"/>
        </w:pBdr>
        <w:shd w:val="clear" w:color="auto" w:fill="444444"/>
        <w:spacing w:after="0" w:line="360" w:lineRule="auto"/>
        <w:ind w:left="0" w:right="15"/>
        <w:textAlignment w:val="top"/>
        <w:rPr>
          <w:rFonts w:ascii="Verdana" w:eastAsia="Times New Roman" w:hAnsi="Verdana" w:cs="Times New Roman"/>
          <w:sz w:val="17"/>
          <w:szCs w:val="17"/>
          <w:lang w:val="en" w:eastAsia="lv-LV"/>
        </w:rPr>
      </w:pPr>
      <w:hyperlink r:id="rId19" w:tooltip="In-house Training" w:history="1">
        <w:r w:rsidRPr="00405C96">
          <w:rPr>
            <w:rFonts w:ascii="Verdana" w:eastAsia="Times New Roman" w:hAnsi="Verdana" w:cs="Times New Roman"/>
            <w:b/>
            <w:bCs/>
            <w:color w:val="BBBBBB"/>
            <w:sz w:val="17"/>
            <w:szCs w:val="17"/>
            <w:lang w:val="en" w:eastAsia="lv-LV"/>
          </w:rPr>
          <w:t>In-house training</w:t>
        </w:r>
      </w:hyperlink>
    </w:p>
    <w:p w14:paraId="7D7645EE" w14:textId="77777777" w:rsidR="00405C96" w:rsidRPr="00405C96" w:rsidRDefault="00405C96" w:rsidP="00405C96">
      <w:pPr>
        <w:numPr>
          <w:ilvl w:val="1"/>
          <w:numId w:val="4"/>
        </w:numPr>
        <w:pBdr>
          <w:bottom w:val="single" w:sz="6" w:space="0" w:color="999999"/>
        </w:pBdr>
        <w:shd w:val="clear" w:color="auto" w:fill="444444"/>
        <w:spacing w:after="0" w:line="360" w:lineRule="auto"/>
        <w:ind w:left="0" w:right="15"/>
        <w:textAlignment w:val="top"/>
        <w:rPr>
          <w:rFonts w:ascii="Verdana" w:eastAsia="Times New Roman" w:hAnsi="Verdana" w:cs="Times New Roman"/>
          <w:sz w:val="17"/>
          <w:szCs w:val="17"/>
          <w:lang w:val="en" w:eastAsia="lv-LV"/>
        </w:rPr>
      </w:pPr>
      <w:hyperlink r:id="rId20" w:tooltip="Sponsorship" w:history="1">
        <w:r w:rsidRPr="00405C96">
          <w:rPr>
            <w:rFonts w:ascii="Verdana" w:eastAsia="Times New Roman" w:hAnsi="Verdana" w:cs="Times New Roman"/>
            <w:b/>
            <w:bCs/>
            <w:color w:val="BBBBBB"/>
            <w:sz w:val="17"/>
            <w:szCs w:val="17"/>
            <w:lang w:val="en" w:eastAsia="lv-LV"/>
          </w:rPr>
          <w:t>Sponsorship</w:t>
        </w:r>
      </w:hyperlink>
    </w:p>
    <w:p w14:paraId="3D65AFE6" w14:textId="77777777" w:rsidR="00405C96" w:rsidRPr="00405C96" w:rsidRDefault="00405C96" w:rsidP="00405C96">
      <w:pPr>
        <w:numPr>
          <w:ilvl w:val="1"/>
          <w:numId w:val="4"/>
        </w:numPr>
        <w:pBdr>
          <w:bottom w:val="single" w:sz="6" w:space="0" w:color="999999"/>
        </w:pBdr>
        <w:shd w:val="clear" w:color="auto" w:fill="444444"/>
        <w:spacing w:after="0" w:line="360" w:lineRule="auto"/>
        <w:ind w:left="0" w:right="15"/>
        <w:textAlignment w:val="top"/>
        <w:rPr>
          <w:rFonts w:ascii="Verdana" w:eastAsia="Times New Roman" w:hAnsi="Verdana" w:cs="Times New Roman"/>
          <w:sz w:val="17"/>
          <w:szCs w:val="17"/>
          <w:lang w:val="en" w:eastAsia="lv-LV"/>
        </w:rPr>
      </w:pPr>
      <w:hyperlink r:id="rId21" w:tooltip="Enter an access code to download conference materials." w:history="1">
        <w:r w:rsidRPr="00405C96">
          <w:rPr>
            <w:rFonts w:ascii="Verdana" w:eastAsia="Times New Roman" w:hAnsi="Verdana" w:cs="Times New Roman"/>
            <w:b/>
            <w:bCs/>
            <w:color w:val="BBBBBB"/>
            <w:sz w:val="17"/>
            <w:szCs w:val="17"/>
            <w:lang w:val="en" w:eastAsia="lv-LV"/>
          </w:rPr>
          <w:t>Download Documentation</w:t>
        </w:r>
      </w:hyperlink>
    </w:p>
    <w:p w14:paraId="0119EEE3" w14:textId="77777777" w:rsidR="00405C96" w:rsidRPr="00405C96" w:rsidRDefault="00405C96" w:rsidP="00405C96">
      <w:pPr>
        <w:numPr>
          <w:ilvl w:val="1"/>
          <w:numId w:val="4"/>
        </w:numPr>
        <w:pBdr>
          <w:bottom w:val="single" w:sz="6" w:space="0" w:color="999999"/>
        </w:pBdr>
        <w:shd w:val="clear" w:color="auto" w:fill="444444"/>
        <w:spacing w:after="0" w:line="360" w:lineRule="auto"/>
        <w:ind w:left="0" w:right="15"/>
        <w:textAlignment w:val="top"/>
        <w:rPr>
          <w:rFonts w:ascii="Verdana" w:eastAsia="Times New Roman" w:hAnsi="Verdana" w:cs="Times New Roman"/>
          <w:sz w:val="17"/>
          <w:szCs w:val="17"/>
          <w:lang w:val="en" w:eastAsia="lv-LV"/>
        </w:rPr>
      </w:pPr>
      <w:hyperlink r:id="rId22" w:tooltip="Sign up to receive email alerts about events" w:history="1">
        <w:r w:rsidRPr="00405C96">
          <w:rPr>
            <w:rFonts w:ascii="Verdana" w:eastAsia="Times New Roman" w:hAnsi="Verdana" w:cs="Times New Roman"/>
            <w:b/>
            <w:bCs/>
            <w:color w:val="BBBBBB"/>
            <w:sz w:val="17"/>
            <w:szCs w:val="17"/>
            <w:lang w:val="en" w:eastAsia="lv-LV"/>
          </w:rPr>
          <w:t>Email Alerts</w:t>
        </w:r>
      </w:hyperlink>
    </w:p>
    <w:p w14:paraId="5AEE3642" w14:textId="77777777" w:rsidR="00405C96" w:rsidRPr="00405C96" w:rsidRDefault="00405C96" w:rsidP="00405C96">
      <w:pPr>
        <w:numPr>
          <w:ilvl w:val="0"/>
          <w:numId w:val="5"/>
        </w:numPr>
        <w:spacing w:after="0" w:line="360" w:lineRule="auto"/>
        <w:ind w:left="150"/>
        <w:textAlignment w:val="top"/>
        <w:rPr>
          <w:rFonts w:ascii="Verdana" w:eastAsia="Times New Roman" w:hAnsi="Verdana" w:cs="Times New Roman"/>
          <w:sz w:val="19"/>
          <w:szCs w:val="19"/>
          <w:lang w:val="en" w:eastAsia="lv-LV"/>
        </w:rPr>
      </w:pPr>
      <w:hyperlink r:id="rId23" w:tooltip="View videos and whitepapers" w:history="1">
        <w:r w:rsidRPr="00405C96">
          <w:rPr>
            <w:rFonts w:ascii="Verdana" w:eastAsia="Times New Roman" w:hAnsi="Verdana" w:cs="Times New Roman"/>
            <w:b/>
            <w:bCs/>
            <w:color w:val="4F4F4F"/>
            <w:sz w:val="19"/>
            <w:szCs w:val="19"/>
            <w:lang w:val="en" w:eastAsia="lv-LV"/>
          </w:rPr>
          <w:t>Videos/Papers</w:t>
        </w:r>
      </w:hyperlink>
    </w:p>
    <w:p w14:paraId="7FA459DD" w14:textId="77777777" w:rsidR="00405C96" w:rsidRPr="00405C96" w:rsidRDefault="00405C96" w:rsidP="00405C96">
      <w:pPr>
        <w:numPr>
          <w:ilvl w:val="0"/>
          <w:numId w:val="6"/>
        </w:numPr>
        <w:spacing w:after="0" w:line="360" w:lineRule="auto"/>
        <w:ind w:left="150"/>
        <w:textAlignment w:val="top"/>
        <w:rPr>
          <w:rFonts w:ascii="Verdana" w:eastAsia="Times New Roman" w:hAnsi="Verdana" w:cs="Times New Roman"/>
          <w:sz w:val="19"/>
          <w:szCs w:val="19"/>
          <w:lang w:val="en" w:eastAsia="lv-LV"/>
        </w:rPr>
      </w:pPr>
      <w:hyperlink r:id="rId24" w:tooltip="About us" w:history="1">
        <w:r w:rsidRPr="00405C96">
          <w:rPr>
            <w:rFonts w:ascii="Verdana" w:eastAsia="Times New Roman" w:hAnsi="Verdana" w:cs="Times New Roman"/>
            <w:b/>
            <w:bCs/>
            <w:color w:val="4F4F4F"/>
            <w:sz w:val="19"/>
            <w:szCs w:val="19"/>
            <w:lang w:val="en" w:eastAsia="lv-LV"/>
          </w:rPr>
          <w:t>About us</w:t>
        </w:r>
      </w:hyperlink>
    </w:p>
    <w:p w14:paraId="5F18816C" w14:textId="77777777" w:rsidR="00405C96" w:rsidRPr="00405C96" w:rsidRDefault="00405C96" w:rsidP="00405C96">
      <w:pPr>
        <w:numPr>
          <w:ilvl w:val="1"/>
          <w:numId w:val="6"/>
        </w:numPr>
        <w:pBdr>
          <w:bottom w:val="single" w:sz="6" w:space="0" w:color="999999"/>
        </w:pBdr>
        <w:shd w:val="clear" w:color="auto" w:fill="444444"/>
        <w:spacing w:after="0" w:line="360" w:lineRule="auto"/>
        <w:ind w:left="0" w:right="15"/>
        <w:textAlignment w:val="top"/>
        <w:rPr>
          <w:rFonts w:ascii="Verdana" w:eastAsia="Times New Roman" w:hAnsi="Verdana" w:cs="Times New Roman"/>
          <w:sz w:val="17"/>
          <w:szCs w:val="17"/>
          <w:lang w:val="en" w:eastAsia="lv-LV"/>
        </w:rPr>
      </w:pPr>
      <w:hyperlink r:id="rId25" w:tooltip="Contact us" w:history="1">
        <w:r w:rsidRPr="00405C96">
          <w:rPr>
            <w:rFonts w:ascii="Verdana" w:eastAsia="Times New Roman" w:hAnsi="Verdana" w:cs="Times New Roman"/>
            <w:b/>
            <w:bCs/>
            <w:color w:val="BBBBBB"/>
            <w:sz w:val="17"/>
            <w:szCs w:val="17"/>
            <w:lang w:val="en" w:eastAsia="lv-LV"/>
          </w:rPr>
          <w:t>Contact us</w:t>
        </w:r>
      </w:hyperlink>
    </w:p>
    <w:p w14:paraId="4A29FC1A" w14:textId="77777777" w:rsidR="00405C96" w:rsidRPr="00405C96" w:rsidRDefault="00405C96" w:rsidP="00405C96">
      <w:pPr>
        <w:numPr>
          <w:ilvl w:val="1"/>
          <w:numId w:val="6"/>
        </w:numPr>
        <w:pBdr>
          <w:bottom w:val="single" w:sz="6" w:space="0" w:color="999999"/>
        </w:pBdr>
        <w:shd w:val="clear" w:color="auto" w:fill="444444"/>
        <w:spacing w:after="0" w:line="360" w:lineRule="auto"/>
        <w:ind w:left="0" w:right="15"/>
        <w:textAlignment w:val="top"/>
        <w:rPr>
          <w:rFonts w:ascii="Verdana" w:eastAsia="Times New Roman" w:hAnsi="Verdana" w:cs="Times New Roman"/>
          <w:sz w:val="17"/>
          <w:szCs w:val="17"/>
          <w:lang w:val="en" w:eastAsia="lv-LV"/>
        </w:rPr>
      </w:pPr>
      <w:hyperlink r:id="rId26" w:tooltip="Our Team" w:history="1">
        <w:r w:rsidRPr="00405C96">
          <w:rPr>
            <w:rFonts w:ascii="Verdana" w:eastAsia="Times New Roman" w:hAnsi="Verdana" w:cs="Times New Roman"/>
            <w:b/>
            <w:bCs/>
            <w:color w:val="BBBBBB"/>
            <w:sz w:val="17"/>
            <w:szCs w:val="17"/>
            <w:lang w:val="en" w:eastAsia="lv-LV"/>
          </w:rPr>
          <w:t>Our Team</w:t>
        </w:r>
      </w:hyperlink>
    </w:p>
    <w:p w14:paraId="47B9528D" w14:textId="77777777" w:rsidR="00405C96" w:rsidRPr="00405C96" w:rsidRDefault="00405C96" w:rsidP="00405C96">
      <w:pPr>
        <w:numPr>
          <w:ilvl w:val="1"/>
          <w:numId w:val="6"/>
        </w:numPr>
        <w:pBdr>
          <w:bottom w:val="single" w:sz="6" w:space="0" w:color="999999"/>
        </w:pBdr>
        <w:shd w:val="clear" w:color="auto" w:fill="444444"/>
        <w:spacing w:after="0" w:line="360" w:lineRule="auto"/>
        <w:ind w:left="0" w:right="15"/>
        <w:textAlignment w:val="top"/>
        <w:rPr>
          <w:rFonts w:ascii="Verdana" w:eastAsia="Times New Roman" w:hAnsi="Verdana" w:cs="Times New Roman"/>
          <w:sz w:val="17"/>
          <w:szCs w:val="17"/>
          <w:lang w:val="en" w:eastAsia="lv-LV"/>
        </w:rPr>
      </w:pPr>
      <w:hyperlink r:id="rId27" w:tooltip="Community and Environment" w:history="1">
        <w:r w:rsidRPr="00405C96">
          <w:rPr>
            <w:rFonts w:ascii="Verdana" w:eastAsia="Times New Roman" w:hAnsi="Verdana" w:cs="Times New Roman"/>
            <w:b/>
            <w:bCs/>
            <w:color w:val="BBBBBB"/>
            <w:sz w:val="17"/>
            <w:szCs w:val="17"/>
            <w:lang w:val="en" w:eastAsia="lv-LV"/>
          </w:rPr>
          <w:t>Community and Environment</w:t>
        </w:r>
      </w:hyperlink>
    </w:p>
    <w:p w14:paraId="2BA0D4A6" w14:textId="77777777" w:rsidR="00405C96" w:rsidRPr="00405C96" w:rsidRDefault="00405C96" w:rsidP="00405C96">
      <w:pPr>
        <w:numPr>
          <w:ilvl w:val="1"/>
          <w:numId w:val="6"/>
        </w:numPr>
        <w:pBdr>
          <w:bottom w:val="single" w:sz="6" w:space="0" w:color="999999"/>
        </w:pBdr>
        <w:shd w:val="clear" w:color="auto" w:fill="444444"/>
        <w:spacing w:after="0" w:line="360" w:lineRule="auto"/>
        <w:ind w:left="0" w:right="15"/>
        <w:textAlignment w:val="top"/>
        <w:rPr>
          <w:rFonts w:ascii="Verdana" w:eastAsia="Times New Roman" w:hAnsi="Verdana" w:cs="Times New Roman"/>
          <w:sz w:val="17"/>
          <w:szCs w:val="17"/>
          <w:lang w:val="en" w:eastAsia="lv-LV"/>
        </w:rPr>
      </w:pPr>
      <w:hyperlink r:id="rId28" w:tooltip="Your CPD Partner" w:history="1">
        <w:r w:rsidRPr="00405C96">
          <w:rPr>
            <w:rFonts w:ascii="Verdana" w:eastAsia="Times New Roman" w:hAnsi="Verdana" w:cs="Times New Roman"/>
            <w:b/>
            <w:bCs/>
            <w:color w:val="BBBBBB"/>
            <w:sz w:val="17"/>
            <w:szCs w:val="17"/>
            <w:lang w:val="en" w:eastAsia="lv-LV"/>
          </w:rPr>
          <w:t>Your CPD Partner</w:t>
        </w:r>
      </w:hyperlink>
    </w:p>
    <w:p w14:paraId="540AAD95" w14:textId="77777777" w:rsidR="00405C96" w:rsidRPr="00405C96" w:rsidRDefault="00405C96" w:rsidP="00405C96">
      <w:pPr>
        <w:numPr>
          <w:ilvl w:val="1"/>
          <w:numId w:val="6"/>
        </w:numPr>
        <w:pBdr>
          <w:bottom w:val="single" w:sz="6" w:space="0" w:color="999999"/>
        </w:pBdr>
        <w:shd w:val="clear" w:color="auto" w:fill="444444"/>
        <w:spacing w:after="0" w:line="360" w:lineRule="auto"/>
        <w:ind w:left="0" w:right="15"/>
        <w:textAlignment w:val="top"/>
        <w:rPr>
          <w:rFonts w:ascii="Verdana" w:eastAsia="Times New Roman" w:hAnsi="Verdana" w:cs="Times New Roman"/>
          <w:sz w:val="17"/>
          <w:szCs w:val="17"/>
          <w:lang w:val="en" w:eastAsia="lv-LV"/>
        </w:rPr>
      </w:pPr>
      <w:hyperlink r:id="rId29" w:tooltip="Customer service" w:history="1">
        <w:r w:rsidRPr="00405C96">
          <w:rPr>
            <w:rFonts w:ascii="Verdana" w:eastAsia="Times New Roman" w:hAnsi="Verdana" w:cs="Times New Roman"/>
            <w:b/>
            <w:bCs/>
            <w:color w:val="BBBBBB"/>
            <w:sz w:val="17"/>
            <w:szCs w:val="17"/>
            <w:lang w:val="en" w:eastAsia="lv-LV"/>
          </w:rPr>
          <w:t>Customer service</w:t>
        </w:r>
      </w:hyperlink>
    </w:p>
    <w:p w14:paraId="38B21FB2" w14:textId="77777777" w:rsidR="00405C96" w:rsidRPr="00405C96" w:rsidRDefault="00405C96" w:rsidP="00405C96">
      <w:pPr>
        <w:numPr>
          <w:ilvl w:val="1"/>
          <w:numId w:val="6"/>
        </w:numPr>
        <w:pBdr>
          <w:bottom w:val="single" w:sz="6" w:space="0" w:color="999999"/>
        </w:pBdr>
        <w:shd w:val="clear" w:color="auto" w:fill="444444"/>
        <w:spacing w:after="0" w:line="360" w:lineRule="auto"/>
        <w:ind w:left="0" w:right="15"/>
        <w:textAlignment w:val="top"/>
        <w:rPr>
          <w:rFonts w:ascii="Verdana" w:eastAsia="Times New Roman" w:hAnsi="Verdana" w:cs="Times New Roman"/>
          <w:sz w:val="17"/>
          <w:szCs w:val="17"/>
          <w:lang w:val="en" w:eastAsia="lv-LV"/>
        </w:rPr>
      </w:pPr>
      <w:hyperlink r:id="rId30" w:tooltip="Speaking at an event" w:history="1">
        <w:r w:rsidRPr="00405C96">
          <w:rPr>
            <w:rFonts w:ascii="Verdana" w:eastAsia="Times New Roman" w:hAnsi="Verdana" w:cs="Times New Roman"/>
            <w:b/>
            <w:bCs/>
            <w:color w:val="BBBBBB"/>
            <w:sz w:val="17"/>
            <w:szCs w:val="17"/>
            <w:lang w:val="en" w:eastAsia="lv-LV"/>
          </w:rPr>
          <w:t>Speaking at an event</w:t>
        </w:r>
      </w:hyperlink>
    </w:p>
    <w:p w14:paraId="2476BF17" w14:textId="77777777" w:rsidR="00405C96" w:rsidRPr="00405C96" w:rsidRDefault="00405C96" w:rsidP="00405C96">
      <w:pPr>
        <w:numPr>
          <w:ilvl w:val="1"/>
          <w:numId w:val="6"/>
        </w:numPr>
        <w:pBdr>
          <w:bottom w:val="single" w:sz="6" w:space="0" w:color="999999"/>
        </w:pBdr>
        <w:shd w:val="clear" w:color="auto" w:fill="444444"/>
        <w:spacing w:after="0" w:line="360" w:lineRule="auto"/>
        <w:ind w:left="0" w:right="15"/>
        <w:textAlignment w:val="top"/>
        <w:rPr>
          <w:rFonts w:ascii="Verdana" w:eastAsia="Times New Roman" w:hAnsi="Verdana" w:cs="Times New Roman"/>
          <w:sz w:val="17"/>
          <w:szCs w:val="17"/>
          <w:lang w:val="en" w:eastAsia="lv-LV"/>
        </w:rPr>
      </w:pPr>
      <w:hyperlink r:id="rId31" w:tooltip="Working with us" w:history="1">
        <w:r w:rsidRPr="00405C96">
          <w:rPr>
            <w:rFonts w:ascii="Verdana" w:eastAsia="Times New Roman" w:hAnsi="Verdana" w:cs="Times New Roman"/>
            <w:b/>
            <w:bCs/>
            <w:color w:val="BBBBBB"/>
            <w:sz w:val="17"/>
            <w:szCs w:val="17"/>
            <w:lang w:val="en" w:eastAsia="lv-LV"/>
          </w:rPr>
          <w:t>Working for us</w:t>
        </w:r>
      </w:hyperlink>
    </w:p>
    <w:p w14:paraId="7A8D9D82" w14:textId="77777777" w:rsidR="00405C96" w:rsidRPr="00405C96" w:rsidRDefault="00405C96" w:rsidP="00405C96">
      <w:pPr>
        <w:numPr>
          <w:ilvl w:val="0"/>
          <w:numId w:val="7"/>
        </w:numPr>
        <w:spacing w:after="150" w:line="360" w:lineRule="auto"/>
        <w:ind w:left="150"/>
        <w:textAlignment w:val="top"/>
        <w:rPr>
          <w:rFonts w:ascii="Verdana" w:eastAsia="Times New Roman" w:hAnsi="Verdana" w:cs="Times New Roman"/>
          <w:sz w:val="19"/>
          <w:szCs w:val="19"/>
          <w:lang w:val="en" w:eastAsia="lv-LV"/>
        </w:rPr>
      </w:pPr>
      <w:hyperlink r:id="rId32" w:tooltip="" w:history="1">
        <w:r w:rsidRPr="00405C96">
          <w:rPr>
            <w:rFonts w:ascii="Verdana" w:eastAsia="Times New Roman" w:hAnsi="Verdana" w:cs="Times New Roman"/>
            <w:b/>
            <w:bCs/>
            <w:color w:val="4F4F4F"/>
            <w:sz w:val="19"/>
            <w:szCs w:val="19"/>
            <w:lang w:val="en" w:eastAsia="lv-LV"/>
          </w:rPr>
          <w:t>Contact us</w:t>
        </w:r>
      </w:hyperlink>
    </w:p>
    <w:p w14:paraId="25E0815C" w14:textId="77777777" w:rsidR="00405C96" w:rsidRPr="00405C96" w:rsidRDefault="00405C96" w:rsidP="00405C96">
      <w:pPr>
        <w:numPr>
          <w:ilvl w:val="0"/>
          <w:numId w:val="8"/>
        </w:numPr>
        <w:shd w:val="clear" w:color="auto" w:fill="FFFFFF"/>
        <w:spacing w:after="0" w:line="315" w:lineRule="atLeast"/>
        <w:ind w:left="150" w:right="90"/>
        <w:rPr>
          <w:rFonts w:ascii="Verdana" w:eastAsia="Times New Roman" w:hAnsi="Verdana" w:cs="Times New Roman"/>
          <w:sz w:val="17"/>
          <w:szCs w:val="17"/>
          <w:lang w:val="en" w:eastAsia="lv-LV"/>
        </w:rPr>
      </w:pPr>
      <w:hyperlink r:id="rId33" w:history="1">
        <w:r w:rsidRPr="00405C96">
          <w:rPr>
            <w:rFonts w:ascii="Verdana" w:eastAsia="Times New Roman" w:hAnsi="Verdana" w:cs="Times New Roman"/>
            <w:color w:val="0198DA"/>
            <w:sz w:val="17"/>
            <w:szCs w:val="17"/>
            <w:lang w:val="en" w:eastAsia="lv-LV"/>
          </w:rPr>
          <w:t>Home</w:t>
        </w:r>
      </w:hyperlink>
    </w:p>
    <w:p w14:paraId="30CF6716" w14:textId="77777777" w:rsidR="00405C96" w:rsidRPr="00405C96" w:rsidRDefault="00405C96" w:rsidP="00405C96">
      <w:pPr>
        <w:numPr>
          <w:ilvl w:val="0"/>
          <w:numId w:val="8"/>
        </w:numPr>
        <w:shd w:val="clear" w:color="auto" w:fill="FFFFFF"/>
        <w:spacing w:after="0" w:line="315" w:lineRule="atLeast"/>
        <w:ind w:left="150" w:right="90"/>
        <w:rPr>
          <w:rFonts w:ascii="Verdana" w:eastAsia="Times New Roman" w:hAnsi="Verdana" w:cs="Times New Roman"/>
          <w:sz w:val="17"/>
          <w:szCs w:val="17"/>
          <w:lang w:val="en" w:eastAsia="lv-LV"/>
        </w:rPr>
      </w:pPr>
      <w:hyperlink r:id="rId34" w:history="1">
        <w:r w:rsidRPr="00405C96">
          <w:rPr>
            <w:rFonts w:ascii="Verdana" w:eastAsia="Times New Roman" w:hAnsi="Verdana" w:cs="Times New Roman"/>
            <w:color w:val="0198DA"/>
            <w:sz w:val="17"/>
            <w:szCs w:val="17"/>
            <w:lang w:val="en" w:eastAsia="lv-LV"/>
          </w:rPr>
          <w:t>Whitepapers</w:t>
        </w:r>
      </w:hyperlink>
    </w:p>
    <w:p w14:paraId="1FB28778" w14:textId="77777777" w:rsidR="00405C96" w:rsidRPr="00405C96" w:rsidRDefault="00405C96" w:rsidP="00405C96">
      <w:pPr>
        <w:numPr>
          <w:ilvl w:val="0"/>
          <w:numId w:val="8"/>
        </w:numPr>
        <w:shd w:val="clear" w:color="auto" w:fill="FFFFFF"/>
        <w:spacing w:after="150" w:line="315" w:lineRule="atLeast"/>
        <w:ind w:left="150"/>
        <w:rPr>
          <w:rFonts w:ascii="Verdana" w:eastAsia="Times New Roman" w:hAnsi="Verdana" w:cs="Times New Roman"/>
          <w:sz w:val="17"/>
          <w:szCs w:val="17"/>
          <w:lang w:val="en" w:eastAsia="lv-LV"/>
        </w:rPr>
      </w:pPr>
      <w:r w:rsidRPr="00405C96">
        <w:rPr>
          <w:rFonts w:ascii="Verdana" w:eastAsia="Times New Roman" w:hAnsi="Verdana" w:cs="Times New Roman"/>
          <w:sz w:val="17"/>
          <w:szCs w:val="17"/>
          <w:lang w:val="en" w:eastAsia="lv-LV"/>
        </w:rPr>
        <w:t>New Public Management, New Millennium, New Zealand</w:t>
      </w:r>
    </w:p>
    <w:p w14:paraId="1F03BD38" w14:textId="77777777" w:rsidR="00405C96" w:rsidRPr="00405C96" w:rsidRDefault="00405C96" w:rsidP="00405C96">
      <w:pPr>
        <w:shd w:val="clear" w:color="auto" w:fill="FFFFFF"/>
        <w:spacing w:after="225" w:line="312" w:lineRule="atLeast"/>
        <w:textAlignment w:val="top"/>
        <w:outlineLvl w:val="0"/>
        <w:rPr>
          <w:rFonts w:ascii="Helvetica" w:eastAsia="Times New Roman" w:hAnsi="Helvetica" w:cs="Helvetica"/>
          <w:b/>
          <w:bCs/>
          <w:color w:val="444444"/>
          <w:kern w:val="36"/>
          <w:sz w:val="48"/>
          <w:szCs w:val="48"/>
          <w:lang w:val="en" w:eastAsia="lv-LV"/>
        </w:rPr>
      </w:pPr>
      <w:r w:rsidRPr="00405C96">
        <w:rPr>
          <w:rFonts w:ascii="Helvetica" w:eastAsia="Times New Roman" w:hAnsi="Helvetica" w:cs="Helvetica"/>
          <w:b/>
          <w:bCs/>
          <w:color w:val="444444"/>
          <w:kern w:val="36"/>
          <w:sz w:val="48"/>
          <w:szCs w:val="48"/>
          <w:lang w:val="en" w:eastAsia="lv-LV"/>
        </w:rPr>
        <w:t>New Public Management, New Millennium, New Zealand</w:t>
      </w:r>
    </w:p>
    <w:p w14:paraId="6D7ED0C7" w14:textId="77777777" w:rsidR="00405C96" w:rsidRPr="00405C96" w:rsidRDefault="00405C96" w:rsidP="00405C96">
      <w:pPr>
        <w:shd w:val="clear" w:color="auto" w:fill="FFFFFF"/>
        <w:spacing w:after="0" w:line="360" w:lineRule="auto"/>
        <w:textAlignment w:val="top"/>
        <w:rPr>
          <w:rFonts w:ascii="Verdana" w:eastAsia="Times New Roman" w:hAnsi="Verdana" w:cs="Times New Roman"/>
          <w:color w:val="444444"/>
          <w:sz w:val="18"/>
          <w:szCs w:val="18"/>
          <w:lang w:val="en" w:eastAsia="lv-LV"/>
        </w:rPr>
      </w:pPr>
      <w:r w:rsidRPr="00405C96">
        <w:rPr>
          <w:rFonts w:ascii="Verdana" w:eastAsia="Times New Roman" w:hAnsi="Verdana" w:cs="Times New Roman"/>
          <w:color w:val="444444"/>
          <w:sz w:val="18"/>
          <w:szCs w:val="18"/>
          <w:lang w:val="en" w:eastAsia="lv-LV"/>
        </w:rPr>
        <w:t>Author: </w:t>
      </w:r>
    </w:p>
    <w:p w14:paraId="351C4E6A" w14:textId="77777777" w:rsidR="00405C96" w:rsidRPr="00405C96" w:rsidRDefault="00405C96" w:rsidP="00405C96">
      <w:pPr>
        <w:shd w:val="clear" w:color="auto" w:fill="FFFFFF"/>
        <w:spacing w:after="0" w:line="360" w:lineRule="auto"/>
        <w:textAlignment w:val="top"/>
        <w:rPr>
          <w:rFonts w:ascii="Verdana" w:eastAsia="Times New Roman" w:hAnsi="Verdana" w:cs="Times New Roman"/>
          <w:color w:val="444444"/>
          <w:sz w:val="18"/>
          <w:szCs w:val="18"/>
          <w:lang w:val="en" w:eastAsia="lv-LV"/>
        </w:rPr>
      </w:pPr>
      <w:r w:rsidRPr="00405C96">
        <w:rPr>
          <w:rFonts w:ascii="Verdana" w:eastAsia="Times New Roman" w:hAnsi="Verdana" w:cs="Times New Roman"/>
          <w:color w:val="444444"/>
          <w:sz w:val="18"/>
          <w:szCs w:val="18"/>
          <w:lang w:val="en" w:eastAsia="lv-LV"/>
        </w:rPr>
        <w:t xml:space="preserve">Grant Duncan and Jeff Chapman, Post-graduate Public Policy Programme, Massey University Albany </w:t>
      </w:r>
    </w:p>
    <w:p w14:paraId="19F9168C" w14:textId="77777777" w:rsidR="00405C96" w:rsidRPr="00405C96" w:rsidRDefault="00405C96" w:rsidP="00405C96">
      <w:pPr>
        <w:shd w:val="clear" w:color="auto" w:fill="FFFFFF"/>
        <w:spacing w:before="100" w:beforeAutospacing="1" w:after="100" w:afterAutospacing="1" w:line="360" w:lineRule="atLeast"/>
        <w:textAlignment w:val="top"/>
        <w:rPr>
          <w:rFonts w:ascii="Verdana" w:eastAsia="Times New Roman" w:hAnsi="Verdana" w:cs="Times New Roman"/>
          <w:color w:val="444444"/>
          <w:sz w:val="18"/>
          <w:szCs w:val="18"/>
          <w:lang w:val="en" w:eastAsia="lv-LV"/>
        </w:rPr>
      </w:pPr>
      <w:r w:rsidRPr="00405C96">
        <w:rPr>
          <w:rFonts w:ascii="Verdana" w:eastAsia="Times New Roman" w:hAnsi="Verdana" w:cs="Times New Roman"/>
          <w:color w:val="444444"/>
          <w:sz w:val="18"/>
          <w:szCs w:val="18"/>
          <w:lang w:val="en" w:eastAsia="lv-LV"/>
        </w:rPr>
        <w:t>The much-discussed ‘New Zealand model’ of the new public management (NPM) has become significantly revised in recent years, and it now lacks the theoretical coherence and market-led focus that it had between 1987 and 1996. The Labour-led minority governments since 1999 have undertaken gradual and pragmatic – yet significant – changes in public management structures and principles, including legislative amendments in 2004. These changes have refined, and sometimes even reversed, the model implemented initially by the fourth Labour government in the late 1980s and then under the National government in the early 1990s.</w:t>
      </w:r>
    </w:p>
    <w:p w14:paraId="03E2AAC4" w14:textId="77777777" w:rsidR="00405C96" w:rsidRPr="00405C96" w:rsidRDefault="00405C96" w:rsidP="00405C96">
      <w:pPr>
        <w:shd w:val="clear" w:color="auto" w:fill="FFFFFF"/>
        <w:spacing w:before="100" w:beforeAutospacing="1" w:after="100" w:afterAutospacing="1" w:line="360" w:lineRule="atLeast"/>
        <w:textAlignment w:val="top"/>
        <w:rPr>
          <w:rFonts w:ascii="Verdana" w:eastAsia="Times New Roman" w:hAnsi="Verdana" w:cs="Times New Roman"/>
          <w:color w:val="444444"/>
          <w:sz w:val="18"/>
          <w:szCs w:val="18"/>
          <w:lang w:val="en" w:eastAsia="lv-LV"/>
        </w:rPr>
      </w:pPr>
      <w:r w:rsidRPr="00405C96">
        <w:rPr>
          <w:rFonts w:ascii="Verdana" w:eastAsia="Times New Roman" w:hAnsi="Verdana" w:cs="Times New Roman"/>
          <w:color w:val="444444"/>
          <w:sz w:val="18"/>
          <w:szCs w:val="18"/>
          <w:lang w:val="en" w:eastAsia="lv-LV"/>
        </w:rPr>
        <w:t>This paper does a ‘stock-take’ of public management developments in New Zealand from 1999 to 2008, and argues that New Zealand can no longer be viewed as a leading exponent of privatization, competitive contracting-out, policy–operations splits, and other such reforms as prescribed by public-choice and agency theories. Some NPM principles have been strengthened, while others have been quietly abandoned. But there has been no theoretical blueprint laid out to replace that produced by the Treasury in 1987. Given the change to a centre-right government in November 2008, the paper concludes with an indication of likely future developments. While eager to make further changes in public management, the National-led government is unwilling to return to radical, market-driven reforms, and looks set to continue with the ‘gradual and pragmatic’ approach adopted by Labour since 1999.</w:t>
      </w:r>
    </w:p>
    <w:p w14:paraId="29BDD3A2" w14:textId="77777777" w:rsidR="00405C96" w:rsidRPr="00405C96" w:rsidRDefault="00405C96" w:rsidP="00405C96">
      <w:pPr>
        <w:shd w:val="clear" w:color="auto" w:fill="FFFFFF"/>
        <w:spacing w:before="100" w:beforeAutospacing="1" w:after="100" w:afterAutospacing="1" w:line="360" w:lineRule="atLeast"/>
        <w:textAlignment w:val="top"/>
        <w:rPr>
          <w:rFonts w:ascii="Verdana" w:eastAsia="Times New Roman" w:hAnsi="Verdana" w:cs="Times New Roman"/>
          <w:color w:val="444444"/>
          <w:sz w:val="18"/>
          <w:szCs w:val="18"/>
          <w:lang w:val="en" w:eastAsia="lv-LV"/>
        </w:rPr>
      </w:pPr>
      <w:r w:rsidRPr="00405C96">
        <w:rPr>
          <w:rFonts w:ascii="Verdana" w:eastAsia="Times New Roman" w:hAnsi="Verdana" w:cs="Times New Roman"/>
          <w:color w:val="444444"/>
          <w:sz w:val="18"/>
          <w:szCs w:val="18"/>
          <w:lang w:val="en" w:eastAsia="lv-LV"/>
        </w:rPr>
        <w:t>Within the decade beginning 1986 (the year of the State-Owned Enterprises Act), New Zealand’s public sector underwent rapid and thoroughgoing reforms using the precepts of what has become known as the ‘new public management’ (NPM). The theoretical principles of New Zealand’s institutional reforms were clearly set out by the Treasury (1987) in a post-election briefing paper; and the results are well documented and analysed by Boston et al. (1996). One of the effects of this decade of reform was that New Zealand made a name for itself as an international leader. Pollitt and Bouckaert, for example, in a comparative analysis of the public management changes effected in thirteen jurisdictions, describe New Zealand’s efforts as ‘probably the most comprehensive and radical set of public management reforms of any OECD country’ (2004, p. 280). Some of the outstanding features of the so-called ‘New Zealand model’ were:</w:t>
      </w:r>
    </w:p>
    <w:p w14:paraId="726CAAB1" w14:textId="77777777" w:rsidR="00405C96" w:rsidRPr="00405C96" w:rsidRDefault="00405C96" w:rsidP="00405C96">
      <w:pPr>
        <w:numPr>
          <w:ilvl w:val="0"/>
          <w:numId w:val="9"/>
        </w:numPr>
        <w:shd w:val="clear" w:color="auto" w:fill="FFFFFF"/>
        <w:spacing w:before="100" w:beforeAutospacing="1" w:after="100" w:afterAutospacing="1" w:line="360" w:lineRule="auto"/>
        <w:ind w:left="870"/>
        <w:textAlignment w:val="top"/>
        <w:rPr>
          <w:rFonts w:ascii="Verdana" w:eastAsia="Times New Roman" w:hAnsi="Verdana" w:cs="Times New Roman"/>
          <w:color w:val="444444"/>
          <w:sz w:val="18"/>
          <w:szCs w:val="18"/>
          <w:lang w:val="en" w:eastAsia="lv-LV"/>
        </w:rPr>
      </w:pPr>
      <w:r w:rsidRPr="00405C96">
        <w:rPr>
          <w:rFonts w:ascii="Verdana" w:eastAsia="Times New Roman" w:hAnsi="Verdana" w:cs="Times New Roman"/>
          <w:color w:val="444444"/>
          <w:sz w:val="18"/>
          <w:szCs w:val="18"/>
          <w:lang w:val="en" w:eastAsia="lv-LV"/>
        </w:rPr>
        <w:t>The appointment of departmental chief executives on a five-year fixed term, with annual performance agreements with the relevant minister, but also with greater managerial authority and discretion.</w:t>
      </w:r>
    </w:p>
    <w:p w14:paraId="4DDD3505" w14:textId="77777777" w:rsidR="00405C96" w:rsidRPr="00405C96" w:rsidRDefault="00405C96" w:rsidP="00405C96">
      <w:pPr>
        <w:numPr>
          <w:ilvl w:val="0"/>
          <w:numId w:val="9"/>
        </w:numPr>
        <w:shd w:val="clear" w:color="auto" w:fill="FFFFFF"/>
        <w:spacing w:before="100" w:beforeAutospacing="1" w:after="100" w:afterAutospacing="1" w:line="360" w:lineRule="auto"/>
        <w:ind w:left="870"/>
        <w:textAlignment w:val="top"/>
        <w:rPr>
          <w:rFonts w:ascii="Verdana" w:eastAsia="Times New Roman" w:hAnsi="Verdana" w:cs="Times New Roman"/>
          <w:color w:val="444444"/>
          <w:sz w:val="18"/>
          <w:szCs w:val="18"/>
          <w:lang w:val="en" w:eastAsia="lv-LV"/>
        </w:rPr>
      </w:pPr>
      <w:r w:rsidRPr="00405C96">
        <w:rPr>
          <w:rFonts w:ascii="Verdana" w:eastAsia="Times New Roman" w:hAnsi="Verdana" w:cs="Times New Roman"/>
          <w:color w:val="444444"/>
          <w:sz w:val="18"/>
          <w:szCs w:val="18"/>
          <w:lang w:val="en" w:eastAsia="lv-LV"/>
        </w:rPr>
        <w:t>The consistent application of accrual accounting practices.</w:t>
      </w:r>
    </w:p>
    <w:p w14:paraId="3A47F03C" w14:textId="77777777" w:rsidR="00405C96" w:rsidRPr="00405C96" w:rsidRDefault="00405C96" w:rsidP="00405C96">
      <w:pPr>
        <w:numPr>
          <w:ilvl w:val="0"/>
          <w:numId w:val="10"/>
        </w:numPr>
        <w:shd w:val="clear" w:color="auto" w:fill="FFFFFF"/>
        <w:spacing w:before="100" w:beforeAutospacing="1" w:after="100" w:afterAutospacing="1" w:line="360" w:lineRule="auto"/>
        <w:ind w:left="870"/>
        <w:textAlignment w:val="top"/>
        <w:rPr>
          <w:rFonts w:ascii="Verdana" w:eastAsia="Times New Roman" w:hAnsi="Verdana" w:cs="Times New Roman"/>
          <w:color w:val="444444"/>
          <w:sz w:val="18"/>
          <w:szCs w:val="18"/>
          <w:lang w:val="en" w:eastAsia="lv-LV"/>
        </w:rPr>
      </w:pPr>
      <w:r w:rsidRPr="00405C96">
        <w:rPr>
          <w:rFonts w:ascii="Verdana" w:eastAsia="Times New Roman" w:hAnsi="Verdana" w:cs="Times New Roman"/>
          <w:color w:val="444444"/>
          <w:sz w:val="18"/>
          <w:szCs w:val="18"/>
          <w:lang w:val="en" w:eastAsia="lv-LV"/>
        </w:rPr>
        <w:t>The disaggregation of former multi-purpose, vertically integrated state bureaucracies into smaller, single-purpose agencies – following the public-choice theoretical principle of splitting policy from operational agencies, and funders from providers, in order to avoid policy capture and to enable contestability.</w:t>
      </w:r>
    </w:p>
    <w:p w14:paraId="74D80B74" w14:textId="77777777" w:rsidR="00405C96" w:rsidRPr="00405C96" w:rsidRDefault="00405C96" w:rsidP="00405C96">
      <w:pPr>
        <w:numPr>
          <w:ilvl w:val="0"/>
          <w:numId w:val="10"/>
        </w:numPr>
        <w:shd w:val="clear" w:color="auto" w:fill="FFFFFF"/>
        <w:spacing w:before="100" w:beforeAutospacing="1" w:after="100" w:afterAutospacing="1" w:line="360" w:lineRule="auto"/>
        <w:ind w:left="870"/>
        <w:textAlignment w:val="top"/>
        <w:rPr>
          <w:rFonts w:ascii="Verdana" w:eastAsia="Times New Roman" w:hAnsi="Verdana" w:cs="Times New Roman"/>
          <w:color w:val="444444"/>
          <w:sz w:val="18"/>
          <w:szCs w:val="18"/>
          <w:lang w:val="en" w:eastAsia="lv-LV"/>
        </w:rPr>
      </w:pPr>
      <w:r w:rsidRPr="00405C96">
        <w:rPr>
          <w:rFonts w:ascii="Verdana" w:eastAsia="Times New Roman" w:hAnsi="Verdana" w:cs="Times New Roman"/>
          <w:color w:val="444444"/>
          <w:sz w:val="18"/>
          <w:szCs w:val="18"/>
          <w:lang w:val="en" w:eastAsia="lv-LV"/>
        </w:rPr>
        <w:t>A widespread use of competitive contracting out of many public services to private-sector and community-service agencies.</w:t>
      </w:r>
    </w:p>
    <w:p w14:paraId="1F3C634B" w14:textId="77777777" w:rsidR="00405C96" w:rsidRPr="00405C96" w:rsidRDefault="00405C96" w:rsidP="00405C96">
      <w:pPr>
        <w:numPr>
          <w:ilvl w:val="0"/>
          <w:numId w:val="10"/>
        </w:numPr>
        <w:shd w:val="clear" w:color="auto" w:fill="FFFFFF"/>
        <w:spacing w:before="100" w:beforeAutospacing="1" w:after="100" w:afterAutospacing="1" w:line="360" w:lineRule="auto"/>
        <w:ind w:left="870"/>
        <w:textAlignment w:val="top"/>
        <w:rPr>
          <w:rFonts w:ascii="Verdana" w:eastAsia="Times New Roman" w:hAnsi="Verdana" w:cs="Times New Roman"/>
          <w:color w:val="444444"/>
          <w:sz w:val="18"/>
          <w:szCs w:val="18"/>
          <w:lang w:val="en" w:eastAsia="lv-LV"/>
        </w:rPr>
      </w:pPr>
      <w:r w:rsidRPr="00405C96">
        <w:rPr>
          <w:rFonts w:ascii="Verdana" w:eastAsia="Times New Roman" w:hAnsi="Verdana" w:cs="Times New Roman"/>
          <w:color w:val="444444"/>
          <w:sz w:val="18"/>
          <w:szCs w:val="18"/>
          <w:lang w:val="en" w:eastAsia="lv-LV"/>
        </w:rPr>
        <w:t>A rapid process of corporatization, frequently followed by full privatization, of many state-owned assets, resulting in a large number of redundancies.</w:t>
      </w:r>
    </w:p>
    <w:p w14:paraId="6AB9FB5A" w14:textId="77777777" w:rsidR="00405C96" w:rsidRPr="00405C96" w:rsidRDefault="00405C96" w:rsidP="00405C96">
      <w:pPr>
        <w:shd w:val="clear" w:color="auto" w:fill="FFFFFF"/>
        <w:spacing w:before="100" w:beforeAutospacing="1" w:after="100" w:afterAutospacing="1" w:line="360" w:lineRule="atLeast"/>
        <w:textAlignment w:val="top"/>
        <w:rPr>
          <w:rFonts w:ascii="Verdana" w:eastAsia="Times New Roman" w:hAnsi="Verdana" w:cs="Times New Roman"/>
          <w:color w:val="444444"/>
          <w:sz w:val="18"/>
          <w:szCs w:val="18"/>
          <w:lang w:val="en" w:eastAsia="lv-LV"/>
        </w:rPr>
      </w:pPr>
      <w:r w:rsidRPr="00405C96">
        <w:rPr>
          <w:rFonts w:ascii="Verdana" w:eastAsia="Times New Roman" w:hAnsi="Verdana" w:cs="Times New Roman"/>
          <w:color w:val="444444"/>
          <w:sz w:val="18"/>
          <w:szCs w:val="18"/>
          <w:lang w:val="en" w:eastAsia="lv-LV"/>
        </w:rPr>
        <w:t>The legislative framework for these dramatic changes had been constructed by the fourth Labour Government (1984–1990) in the State-Owned Enterprises Act 1986, the State Sector Act 1988, and the Public Finance Act 1989. In addition, the independence of the central bank, and the requirement that its monetary policy objective should be solely price control, was established by the Reserve Bank Act 1990.</w:t>
      </w:r>
    </w:p>
    <w:p w14:paraId="7BEC93FE" w14:textId="77777777" w:rsidR="00405C96" w:rsidRPr="00405C96" w:rsidRDefault="00405C96" w:rsidP="00405C96">
      <w:pPr>
        <w:shd w:val="clear" w:color="auto" w:fill="FFFFFF"/>
        <w:spacing w:before="100" w:beforeAutospacing="1" w:after="100" w:afterAutospacing="1" w:line="360" w:lineRule="atLeast"/>
        <w:textAlignment w:val="top"/>
        <w:rPr>
          <w:rFonts w:ascii="Verdana" w:eastAsia="Times New Roman" w:hAnsi="Verdana" w:cs="Times New Roman"/>
          <w:color w:val="444444"/>
          <w:sz w:val="18"/>
          <w:szCs w:val="18"/>
          <w:lang w:val="en" w:eastAsia="lv-LV"/>
        </w:rPr>
      </w:pPr>
      <w:r w:rsidRPr="00405C96">
        <w:rPr>
          <w:rFonts w:ascii="Verdana" w:eastAsia="Times New Roman" w:hAnsi="Verdana" w:cs="Times New Roman"/>
          <w:b/>
          <w:bCs/>
          <w:color w:val="444444"/>
          <w:sz w:val="18"/>
          <w:szCs w:val="18"/>
          <w:lang w:val="en" w:eastAsia="lv-LV"/>
        </w:rPr>
        <w:t>The Bolger–Shipley Years</w:t>
      </w:r>
      <w:r w:rsidRPr="00405C96">
        <w:rPr>
          <w:rFonts w:ascii="Verdana" w:eastAsia="Times New Roman" w:hAnsi="Verdana" w:cs="Times New Roman"/>
          <w:b/>
          <w:bCs/>
          <w:color w:val="444444"/>
          <w:sz w:val="18"/>
          <w:szCs w:val="18"/>
          <w:lang w:val="en" w:eastAsia="lv-LV"/>
        </w:rPr>
        <w:br/>
      </w:r>
      <w:r w:rsidRPr="00405C96">
        <w:rPr>
          <w:rFonts w:ascii="Verdana" w:eastAsia="Times New Roman" w:hAnsi="Verdana" w:cs="Times New Roman"/>
          <w:color w:val="444444"/>
          <w:sz w:val="18"/>
          <w:szCs w:val="18"/>
          <w:lang w:val="en" w:eastAsia="lv-LV"/>
        </w:rPr>
        <w:t>During the 1990s, the National governments, under Prime Ministers Bolger and Shipley, did not make any significant changes to these basic governing principles and the relevant legislation. They did, however, refine the ‘New Zealand model’ by introducing the Fiscal Responsibility Act 1994 which established a framework of transparency in the preparation and presentation of the government’s Budget, a process which binds governments to discipline in strategic fiscal policy, and to generally accepted accounting practice (GAAP) in all financial reporting to Parliament, including the Budget. From 1993, they began a major overhaul of the public health-care system that, in many respects, applied public-choice organizational principles, including a separate policy ministry and a contestable funding system.</w:t>
      </w:r>
    </w:p>
    <w:p w14:paraId="3DF6717B" w14:textId="77777777" w:rsidR="00405C96" w:rsidRPr="00405C96" w:rsidRDefault="00405C96" w:rsidP="00405C96">
      <w:pPr>
        <w:shd w:val="clear" w:color="auto" w:fill="FFFFFF"/>
        <w:spacing w:before="100" w:beforeAutospacing="1" w:after="100" w:afterAutospacing="1" w:line="360" w:lineRule="atLeast"/>
        <w:textAlignment w:val="top"/>
        <w:rPr>
          <w:rFonts w:ascii="Verdana" w:eastAsia="Times New Roman" w:hAnsi="Verdana" w:cs="Times New Roman"/>
          <w:color w:val="444444"/>
          <w:sz w:val="18"/>
          <w:szCs w:val="18"/>
          <w:lang w:val="en" w:eastAsia="lv-LV"/>
        </w:rPr>
      </w:pPr>
      <w:r w:rsidRPr="00405C96">
        <w:rPr>
          <w:rFonts w:ascii="Verdana" w:eastAsia="Times New Roman" w:hAnsi="Verdana" w:cs="Times New Roman"/>
          <w:color w:val="444444"/>
          <w:sz w:val="18"/>
          <w:szCs w:val="18"/>
          <w:lang w:val="en" w:eastAsia="lv-LV"/>
        </w:rPr>
        <w:t>The tide of reform turned in 1996, however. A major review of the reforms conducted by Schick (1996) did, as expected, draw many positive conclusions, but also raised questions about whether the ‘New Zealand model’ had perhaps been applied too zealously in some respects. Some specific points made by Schick were:</w:t>
      </w:r>
    </w:p>
    <w:p w14:paraId="326C5F6A" w14:textId="77777777" w:rsidR="00405C96" w:rsidRPr="00405C96" w:rsidRDefault="00405C96" w:rsidP="00405C96">
      <w:pPr>
        <w:numPr>
          <w:ilvl w:val="0"/>
          <w:numId w:val="11"/>
        </w:numPr>
        <w:shd w:val="clear" w:color="auto" w:fill="FFFFFF"/>
        <w:spacing w:before="100" w:beforeAutospacing="1" w:after="100" w:afterAutospacing="1" w:line="360" w:lineRule="auto"/>
        <w:ind w:left="870"/>
        <w:textAlignment w:val="top"/>
        <w:rPr>
          <w:rFonts w:ascii="Verdana" w:eastAsia="Times New Roman" w:hAnsi="Verdana" w:cs="Times New Roman"/>
          <w:color w:val="444444"/>
          <w:sz w:val="18"/>
          <w:szCs w:val="18"/>
          <w:lang w:val="en" w:eastAsia="lv-LV"/>
        </w:rPr>
      </w:pPr>
      <w:r w:rsidRPr="00405C96">
        <w:rPr>
          <w:rFonts w:ascii="Verdana" w:eastAsia="Times New Roman" w:hAnsi="Verdana" w:cs="Times New Roman"/>
          <w:color w:val="444444"/>
          <w:sz w:val="18"/>
          <w:szCs w:val="18"/>
          <w:lang w:val="en" w:eastAsia="lv-LV"/>
        </w:rPr>
        <w:t>Given the high transaction costs of accountability arrangements, the large number of small departments should be reviewed with a view to consolidation into larger departments, or conversion into Crown entities, to reduce the percentage of departmental expenditure allocated to overheads.</w:t>
      </w:r>
    </w:p>
    <w:p w14:paraId="02953649" w14:textId="77777777" w:rsidR="00405C96" w:rsidRPr="00405C96" w:rsidRDefault="00405C96" w:rsidP="00405C96">
      <w:pPr>
        <w:numPr>
          <w:ilvl w:val="0"/>
          <w:numId w:val="11"/>
        </w:numPr>
        <w:shd w:val="clear" w:color="auto" w:fill="FFFFFF"/>
        <w:spacing w:before="100" w:beforeAutospacing="1" w:after="100" w:afterAutospacing="1" w:line="360" w:lineRule="auto"/>
        <w:ind w:left="870"/>
        <w:textAlignment w:val="top"/>
        <w:rPr>
          <w:rFonts w:ascii="Verdana" w:eastAsia="Times New Roman" w:hAnsi="Verdana" w:cs="Times New Roman"/>
          <w:color w:val="444444"/>
          <w:sz w:val="18"/>
          <w:szCs w:val="18"/>
          <w:lang w:val="en" w:eastAsia="lv-LV"/>
        </w:rPr>
      </w:pPr>
      <w:r w:rsidRPr="00405C96">
        <w:rPr>
          <w:rFonts w:ascii="Verdana" w:eastAsia="Times New Roman" w:hAnsi="Verdana" w:cs="Times New Roman"/>
          <w:color w:val="444444"/>
          <w:sz w:val="18"/>
          <w:szCs w:val="18"/>
          <w:lang w:val="en" w:eastAsia="lv-LV"/>
        </w:rPr>
        <w:t>Changes needed to be made to the way Crown entities were held to account for operations and finances, with government balancing risk against independence in determining whether an activity should remain with a Crown entity or be absorbed back into a department. In discussing this point and the previous one, Schick questioned the ‘slavish’ acceptance of agency theory and the purchaser–provider split.</w:t>
      </w:r>
    </w:p>
    <w:p w14:paraId="31503AA7" w14:textId="77777777" w:rsidR="00405C96" w:rsidRPr="00405C96" w:rsidRDefault="00405C96" w:rsidP="00405C96">
      <w:pPr>
        <w:numPr>
          <w:ilvl w:val="0"/>
          <w:numId w:val="11"/>
        </w:numPr>
        <w:shd w:val="clear" w:color="auto" w:fill="FFFFFF"/>
        <w:spacing w:before="100" w:beforeAutospacing="1" w:after="100" w:afterAutospacing="1" w:line="360" w:lineRule="auto"/>
        <w:ind w:left="870"/>
        <w:textAlignment w:val="top"/>
        <w:rPr>
          <w:rFonts w:ascii="Verdana" w:eastAsia="Times New Roman" w:hAnsi="Verdana" w:cs="Times New Roman"/>
          <w:color w:val="444444"/>
          <w:sz w:val="18"/>
          <w:szCs w:val="18"/>
          <w:lang w:val="en" w:eastAsia="lv-LV"/>
        </w:rPr>
      </w:pPr>
      <w:r w:rsidRPr="00405C96">
        <w:rPr>
          <w:rFonts w:ascii="Verdana" w:eastAsia="Times New Roman" w:hAnsi="Verdana" w:cs="Times New Roman"/>
          <w:color w:val="444444"/>
          <w:sz w:val="18"/>
          <w:szCs w:val="18"/>
          <w:lang w:val="en" w:eastAsia="lv-LV"/>
        </w:rPr>
        <w:t>The central agencies (Treasury, DPMC and SSC) should focus more on government-wide tasks, given the unique perspective that they could bring to public policy-making.</w:t>
      </w:r>
    </w:p>
    <w:p w14:paraId="6DE6F1FB" w14:textId="77777777" w:rsidR="00405C96" w:rsidRPr="00405C96" w:rsidRDefault="00405C96" w:rsidP="00405C96">
      <w:pPr>
        <w:numPr>
          <w:ilvl w:val="0"/>
          <w:numId w:val="11"/>
        </w:numPr>
        <w:shd w:val="clear" w:color="auto" w:fill="FFFFFF"/>
        <w:spacing w:before="100" w:beforeAutospacing="1" w:after="100" w:afterAutospacing="1" w:line="360" w:lineRule="auto"/>
        <w:ind w:left="870"/>
        <w:textAlignment w:val="top"/>
        <w:rPr>
          <w:rFonts w:ascii="Verdana" w:eastAsia="Times New Roman" w:hAnsi="Verdana" w:cs="Times New Roman"/>
          <w:color w:val="444444"/>
          <w:sz w:val="18"/>
          <w:szCs w:val="18"/>
          <w:lang w:val="en" w:eastAsia="lv-LV"/>
        </w:rPr>
      </w:pPr>
      <w:r w:rsidRPr="00405C96">
        <w:rPr>
          <w:rFonts w:ascii="Verdana" w:eastAsia="Times New Roman" w:hAnsi="Verdana" w:cs="Times New Roman"/>
          <w:color w:val="444444"/>
          <w:sz w:val="18"/>
          <w:szCs w:val="18"/>
          <w:lang w:val="en" w:eastAsia="lv-LV"/>
        </w:rPr>
        <w:t>The ‘contractual’ base of the reforms led to a neglect of ownership issues – i.e., the organizational capacity of departments to serve government. Greater emphasis should be placed on the ownership role through a realignment of ministerial portfolios and more detailed specification of ownership interests in chief executive performance agreements.</w:t>
      </w:r>
    </w:p>
    <w:p w14:paraId="4FDE2ECE" w14:textId="77777777" w:rsidR="00405C96" w:rsidRPr="00405C96" w:rsidRDefault="00405C96" w:rsidP="00405C96">
      <w:pPr>
        <w:numPr>
          <w:ilvl w:val="0"/>
          <w:numId w:val="11"/>
        </w:numPr>
        <w:shd w:val="clear" w:color="auto" w:fill="FFFFFF"/>
        <w:spacing w:before="100" w:beforeAutospacing="1" w:after="100" w:afterAutospacing="1" w:line="360" w:lineRule="auto"/>
        <w:ind w:left="870"/>
        <w:textAlignment w:val="top"/>
        <w:rPr>
          <w:rFonts w:ascii="Verdana" w:eastAsia="Times New Roman" w:hAnsi="Verdana" w:cs="Times New Roman"/>
          <w:color w:val="444444"/>
          <w:sz w:val="18"/>
          <w:szCs w:val="18"/>
          <w:lang w:val="en" w:eastAsia="lv-LV"/>
        </w:rPr>
      </w:pPr>
      <w:r w:rsidRPr="00405C96">
        <w:rPr>
          <w:rFonts w:ascii="Verdana" w:eastAsia="Times New Roman" w:hAnsi="Verdana" w:cs="Times New Roman"/>
          <w:color w:val="444444"/>
          <w:sz w:val="18"/>
          <w:szCs w:val="18"/>
          <w:lang w:val="en" w:eastAsia="lv-LV"/>
        </w:rPr>
        <w:t>The concept of a Senior Executive Service (SES) should be re-activated to provide a pool of talented, public-spirited managers. The provision made for an SES in the State Sector Act 1988 had not been successfully implemented.</w:t>
      </w:r>
    </w:p>
    <w:p w14:paraId="19B68229" w14:textId="77777777" w:rsidR="00405C96" w:rsidRPr="00405C96" w:rsidRDefault="00405C96" w:rsidP="00405C96">
      <w:pPr>
        <w:numPr>
          <w:ilvl w:val="0"/>
          <w:numId w:val="12"/>
        </w:numPr>
        <w:shd w:val="clear" w:color="auto" w:fill="FFFFFF"/>
        <w:spacing w:before="100" w:beforeAutospacing="1" w:after="100" w:afterAutospacing="1" w:line="360" w:lineRule="auto"/>
        <w:ind w:left="870"/>
        <w:textAlignment w:val="top"/>
        <w:rPr>
          <w:rFonts w:ascii="Verdana" w:eastAsia="Times New Roman" w:hAnsi="Verdana" w:cs="Times New Roman"/>
          <w:color w:val="444444"/>
          <w:sz w:val="18"/>
          <w:szCs w:val="18"/>
          <w:lang w:val="en" w:eastAsia="lv-LV"/>
        </w:rPr>
      </w:pPr>
      <w:r w:rsidRPr="00405C96">
        <w:rPr>
          <w:rFonts w:ascii="Verdana" w:eastAsia="Times New Roman" w:hAnsi="Verdana" w:cs="Times New Roman"/>
          <w:color w:val="444444"/>
          <w:sz w:val="18"/>
          <w:szCs w:val="18"/>
          <w:lang w:val="en" w:eastAsia="lv-LV"/>
        </w:rPr>
        <w:t>Each department should be required to look beyond annual outputs to strategic issues affecting the department’s responsibilities, and financial planning models should be adapted for non-financial matters.</w:t>
      </w:r>
    </w:p>
    <w:p w14:paraId="09AC12E6" w14:textId="77777777" w:rsidR="00405C96" w:rsidRPr="00405C96" w:rsidRDefault="00405C96" w:rsidP="00405C96">
      <w:pPr>
        <w:numPr>
          <w:ilvl w:val="0"/>
          <w:numId w:val="12"/>
        </w:numPr>
        <w:shd w:val="clear" w:color="auto" w:fill="FFFFFF"/>
        <w:spacing w:before="100" w:beforeAutospacing="1" w:after="100" w:afterAutospacing="1" w:line="360" w:lineRule="auto"/>
        <w:ind w:left="870"/>
        <w:textAlignment w:val="top"/>
        <w:rPr>
          <w:rFonts w:ascii="Verdana" w:eastAsia="Times New Roman" w:hAnsi="Verdana" w:cs="Times New Roman"/>
          <w:color w:val="444444"/>
          <w:sz w:val="18"/>
          <w:szCs w:val="18"/>
          <w:lang w:val="en" w:eastAsia="lv-LV"/>
        </w:rPr>
      </w:pPr>
      <w:r w:rsidRPr="00405C96">
        <w:rPr>
          <w:rFonts w:ascii="Verdana" w:eastAsia="Times New Roman" w:hAnsi="Verdana" w:cs="Times New Roman"/>
          <w:color w:val="444444"/>
          <w:sz w:val="18"/>
          <w:szCs w:val="18"/>
          <w:lang w:val="en" w:eastAsia="lv-LV"/>
        </w:rPr>
        <w:t>The ‘contestable market’ accountability arrangements for determining the purchase of outputs is unsuited to many governmental activities.</w:t>
      </w:r>
    </w:p>
    <w:p w14:paraId="295DB748" w14:textId="77777777" w:rsidR="00405C96" w:rsidRPr="00405C96" w:rsidRDefault="00405C96" w:rsidP="00405C96">
      <w:pPr>
        <w:shd w:val="clear" w:color="auto" w:fill="FFFFFF"/>
        <w:spacing w:before="100" w:beforeAutospacing="1" w:after="100" w:afterAutospacing="1" w:line="360" w:lineRule="atLeast"/>
        <w:textAlignment w:val="top"/>
        <w:rPr>
          <w:rFonts w:ascii="Verdana" w:eastAsia="Times New Roman" w:hAnsi="Verdana" w:cs="Times New Roman"/>
          <w:color w:val="444444"/>
          <w:sz w:val="18"/>
          <w:szCs w:val="18"/>
          <w:lang w:val="en" w:eastAsia="lv-LV"/>
        </w:rPr>
      </w:pPr>
      <w:r w:rsidRPr="00405C96">
        <w:rPr>
          <w:rFonts w:ascii="Verdana" w:eastAsia="Times New Roman" w:hAnsi="Verdana" w:cs="Times New Roman"/>
          <w:color w:val="444444"/>
          <w:sz w:val="18"/>
          <w:szCs w:val="18"/>
          <w:lang w:val="en" w:eastAsia="lv-LV"/>
        </w:rPr>
        <w:t>Schick’s questions were accompanied by academic critics of the reforms, and by wider public concerns. Indeed, several incidents in the 1990s did suggest that a serious lack of organisational capacity had emerged in many quarters in the public sector. The Cave Creek disaster of 1995, in which fourteen people were killed in a national park when a poorly constructed viewing-platform collapsed, was perhaps the most tragic example. The circumstances surrounding the accident were closely investigated and publicly reported, but there was little final consensus about who should be accountable for it (Gregory 1998). Similarly, a series of deaths resulting from maltreatment of children led to doubts about the capacity of social services to cope with demand, and it appeared that fiscal goals had over-turned genuine concern for social-service quality (Duncan 1995).</w:t>
      </w:r>
    </w:p>
    <w:p w14:paraId="0B4D01B4" w14:textId="77777777" w:rsidR="00405C96" w:rsidRPr="00405C96" w:rsidRDefault="00405C96" w:rsidP="00405C96">
      <w:pPr>
        <w:shd w:val="clear" w:color="auto" w:fill="FFFFFF"/>
        <w:spacing w:before="100" w:beforeAutospacing="1" w:after="100" w:afterAutospacing="1" w:line="360" w:lineRule="atLeast"/>
        <w:textAlignment w:val="top"/>
        <w:rPr>
          <w:rFonts w:ascii="Verdana" w:eastAsia="Times New Roman" w:hAnsi="Verdana" w:cs="Times New Roman"/>
          <w:color w:val="444444"/>
          <w:sz w:val="18"/>
          <w:szCs w:val="18"/>
          <w:lang w:val="en" w:eastAsia="lv-LV"/>
        </w:rPr>
      </w:pPr>
      <w:r w:rsidRPr="00405C96">
        <w:rPr>
          <w:rFonts w:ascii="Verdana" w:eastAsia="Times New Roman" w:hAnsi="Verdana" w:cs="Times New Roman"/>
          <w:color w:val="444444"/>
          <w:sz w:val="18"/>
          <w:szCs w:val="18"/>
          <w:lang w:val="en" w:eastAsia="lv-LV"/>
        </w:rPr>
        <w:t>Substantial critiques of the New Zealand model (e.g., Easton 1995; Kelsey 1995) were appearing even before Boston et al. published the following very sanguine comment:</w:t>
      </w:r>
    </w:p>
    <w:p w14:paraId="244700E1" w14:textId="77777777" w:rsidR="00405C96" w:rsidRPr="00405C96" w:rsidRDefault="00405C96" w:rsidP="00405C96">
      <w:pPr>
        <w:shd w:val="clear" w:color="auto" w:fill="FFFFFF"/>
        <w:spacing w:before="100" w:beforeAutospacing="1" w:after="100" w:afterAutospacing="1" w:line="360" w:lineRule="atLeast"/>
        <w:textAlignment w:val="top"/>
        <w:rPr>
          <w:rFonts w:ascii="Verdana" w:eastAsia="Times New Roman" w:hAnsi="Verdana" w:cs="Times New Roman"/>
          <w:color w:val="444444"/>
          <w:sz w:val="18"/>
          <w:szCs w:val="18"/>
          <w:lang w:val="en" w:eastAsia="lv-LV"/>
        </w:rPr>
      </w:pPr>
      <w:r w:rsidRPr="00405C96">
        <w:rPr>
          <w:rFonts w:ascii="Verdana" w:eastAsia="Times New Roman" w:hAnsi="Verdana" w:cs="Times New Roman"/>
          <w:color w:val="444444"/>
          <w:sz w:val="18"/>
          <w:szCs w:val="18"/>
          <w:lang w:val="en" w:eastAsia="lv-LV"/>
        </w:rPr>
        <w:t>Almost without exception, those who have studied the bureaucratic ‘revolution’ in New Zealand have come away favourably impressed. . . [</w:t>
      </w:r>
      <w:proofErr w:type="gramStart"/>
      <w:r w:rsidRPr="00405C96">
        <w:rPr>
          <w:rFonts w:ascii="Verdana" w:eastAsia="Times New Roman" w:hAnsi="Verdana" w:cs="Times New Roman"/>
          <w:color w:val="444444"/>
          <w:sz w:val="18"/>
          <w:szCs w:val="18"/>
          <w:lang w:val="en" w:eastAsia="lv-LV"/>
        </w:rPr>
        <w:t>and</w:t>
      </w:r>
      <w:proofErr w:type="gramEnd"/>
      <w:r w:rsidRPr="00405C96">
        <w:rPr>
          <w:rFonts w:ascii="Verdana" w:eastAsia="Times New Roman" w:hAnsi="Verdana" w:cs="Times New Roman"/>
          <w:color w:val="444444"/>
          <w:sz w:val="18"/>
          <w:szCs w:val="18"/>
          <w:lang w:val="en" w:eastAsia="lv-LV"/>
        </w:rPr>
        <w:t>] most assessments have been extremely positive (1996:3).</w:t>
      </w:r>
    </w:p>
    <w:p w14:paraId="52F96AD7" w14:textId="77777777" w:rsidR="00405C96" w:rsidRPr="00405C96" w:rsidRDefault="00405C96" w:rsidP="00405C96">
      <w:pPr>
        <w:shd w:val="clear" w:color="auto" w:fill="FFFFFF"/>
        <w:spacing w:before="100" w:beforeAutospacing="1" w:after="100" w:afterAutospacing="1" w:line="360" w:lineRule="atLeast"/>
        <w:textAlignment w:val="top"/>
        <w:rPr>
          <w:rFonts w:ascii="Verdana" w:eastAsia="Times New Roman" w:hAnsi="Verdana" w:cs="Times New Roman"/>
          <w:color w:val="444444"/>
          <w:sz w:val="18"/>
          <w:szCs w:val="18"/>
          <w:lang w:val="en" w:eastAsia="lv-LV"/>
        </w:rPr>
      </w:pPr>
      <w:r w:rsidRPr="00405C96">
        <w:rPr>
          <w:rFonts w:ascii="Verdana" w:eastAsia="Times New Roman" w:hAnsi="Verdana" w:cs="Times New Roman"/>
          <w:color w:val="444444"/>
          <w:sz w:val="18"/>
          <w:szCs w:val="18"/>
          <w:lang w:val="en" w:eastAsia="lv-LV"/>
        </w:rPr>
        <w:t>In addition to the concerns raised by Schick and others, however, a major change to New Zealand’s electoral system affected the political capacity to give effect to rapid reforms. Elections based on mixed-member proportional representation (MMP) – beginning with the 1996 election – resulted in coalition and/or minority governments, thus making it less likely that rapid, experimental reforms could continue to be forced through, as it would be unlikely that a single political party would have a majority in the House of Representatives. This political development did not change the basic structure of relationships between ministers and the public service, but it has had an effect on the NPM reforms.</w:t>
      </w:r>
    </w:p>
    <w:p w14:paraId="45848F4D" w14:textId="77777777" w:rsidR="00405C96" w:rsidRPr="00405C96" w:rsidRDefault="00405C96" w:rsidP="00405C96">
      <w:pPr>
        <w:shd w:val="clear" w:color="auto" w:fill="FFFFFF"/>
        <w:spacing w:before="100" w:beforeAutospacing="1" w:after="100" w:afterAutospacing="1" w:line="360" w:lineRule="atLeast"/>
        <w:textAlignment w:val="top"/>
        <w:rPr>
          <w:rFonts w:ascii="Verdana" w:eastAsia="Times New Roman" w:hAnsi="Verdana" w:cs="Times New Roman"/>
          <w:color w:val="444444"/>
          <w:sz w:val="18"/>
          <w:szCs w:val="18"/>
          <w:lang w:val="en" w:eastAsia="lv-LV"/>
        </w:rPr>
      </w:pPr>
      <w:r w:rsidRPr="00405C96">
        <w:rPr>
          <w:rFonts w:ascii="Verdana" w:eastAsia="Times New Roman" w:hAnsi="Verdana" w:cs="Times New Roman"/>
          <w:color w:val="444444"/>
          <w:sz w:val="18"/>
          <w:szCs w:val="18"/>
          <w:lang w:val="en" w:eastAsia="lv-LV"/>
        </w:rPr>
        <w:t>Nonetheless, some important administrative modifications to the New Zealand model began under the Bolger and Shipley governments. There was a desire to overcome the ‘silo’ effect created by the new accounting systems which purchased specified outputs from each organization, and held its chief executive accountable for meeting those – and only those – objectives. To counter this effect, top-level political planning resulted in the setting of strategic objectives that would guide the activities of individual departments, with the intention of achieving a more whole-of-government approach to policy development and service delivery. This move to revise the NPM reforms, which began after 1996, accelerated under the subsequent Labour-led government.</w:t>
      </w:r>
    </w:p>
    <w:p w14:paraId="097A449C" w14:textId="77777777" w:rsidR="00405C96" w:rsidRPr="00405C96" w:rsidRDefault="00405C96" w:rsidP="00405C96">
      <w:pPr>
        <w:shd w:val="clear" w:color="auto" w:fill="FFFFFF"/>
        <w:spacing w:before="100" w:beforeAutospacing="1" w:after="100" w:afterAutospacing="1" w:line="360" w:lineRule="atLeast"/>
        <w:textAlignment w:val="top"/>
        <w:rPr>
          <w:rFonts w:ascii="Verdana" w:eastAsia="Times New Roman" w:hAnsi="Verdana" w:cs="Times New Roman"/>
          <w:color w:val="444444"/>
          <w:sz w:val="18"/>
          <w:szCs w:val="18"/>
          <w:lang w:val="en" w:eastAsia="lv-LV"/>
        </w:rPr>
      </w:pPr>
      <w:r w:rsidRPr="00405C96">
        <w:rPr>
          <w:rFonts w:ascii="Verdana" w:eastAsia="Times New Roman" w:hAnsi="Verdana" w:cs="Times New Roman"/>
          <w:b/>
          <w:bCs/>
          <w:color w:val="444444"/>
          <w:sz w:val="18"/>
          <w:szCs w:val="18"/>
          <w:lang w:val="en" w:eastAsia="lv-LV"/>
        </w:rPr>
        <w:t>Labour-led Governments 1999–2008</w:t>
      </w:r>
      <w:r w:rsidRPr="00405C96">
        <w:rPr>
          <w:rFonts w:ascii="Verdana" w:eastAsia="Times New Roman" w:hAnsi="Verdana" w:cs="Times New Roman"/>
          <w:b/>
          <w:bCs/>
          <w:color w:val="444444"/>
          <w:sz w:val="18"/>
          <w:szCs w:val="18"/>
          <w:lang w:val="en" w:eastAsia="lv-LV"/>
        </w:rPr>
        <w:br/>
      </w:r>
      <w:r w:rsidRPr="00405C96">
        <w:rPr>
          <w:rFonts w:ascii="Verdana" w:eastAsia="Times New Roman" w:hAnsi="Verdana" w:cs="Times New Roman"/>
          <w:color w:val="444444"/>
          <w:sz w:val="18"/>
          <w:szCs w:val="18"/>
          <w:lang w:val="en" w:eastAsia="lv-LV"/>
        </w:rPr>
        <w:t>When it came into office at the end of 1999, the Labour–Alliance coalition government took on the leadership of a public sector that had lost a great deal of public confidence due to a perception of its being under-resourced and motivated largely by cost-cutting, to the detriment of effective service to the public. Their intentions were to restore the public’s trust in public services, to rebuild capacity in the state sector, and to avoid any further plans for rapid or radical changes. Their approach was thus to improve funding in the state sector – while at the same time taking a conservative line on fiscal policy, with consistent budget surpluses – and to make pragmatic refinements and adjustments, as necessary, rather than to seek a major overhaul or redesign.</w:t>
      </w:r>
    </w:p>
    <w:p w14:paraId="32A6BAA9" w14:textId="77777777" w:rsidR="00405C96" w:rsidRPr="00405C96" w:rsidRDefault="00405C96" w:rsidP="00405C96">
      <w:pPr>
        <w:shd w:val="clear" w:color="auto" w:fill="FFFFFF"/>
        <w:spacing w:before="100" w:beforeAutospacing="1" w:after="100" w:afterAutospacing="1" w:line="360" w:lineRule="atLeast"/>
        <w:textAlignment w:val="top"/>
        <w:rPr>
          <w:rFonts w:ascii="Verdana" w:eastAsia="Times New Roman" w:hAnsi="Verdana" w:cs="Times New Roman"/>
          <w:color w:val="444444"/>
          <w:sz w:val="18"/>
          <w:szCs w:val="18"/>
          <w:lang w:val="en" w:eastAsia="lv-LV"/>
        </w:rPr>
      </w:pPr>
      <w:r w:rsidRPr="00405C96">
        <w:rPr>
          <w:rFonts w:ascii="Verdana" w:eastAsia="Times New Roman" w:hAnsi="Verdana" w:cs="Times New Roman"/>
          <w:color w:val="444444"/>
          <w:sz w:val="18"/>
          <w:szCs w:val="18"/>
          <w:lang w:val="en" w:eastAsia="lv-LV"/>
        </w:rPr>
        <w:t>The Labour–Alliance government commissioned a ‘Review of the Centre’ (in 2001) which identified three priorities for change:</w:t>
      </w:r>
    </w:p>
    <w:p w14:paraId="4153C2C1" w14:textId="77777777" w:rsidR="00405C96" w:rsidRPr="00405C96" w:rsidRDefault="00405C96" w:rsidP="00405C96">
      <w:pPr>
        <w:numPr>
          <w:ilvl w:val="0"/>
          <w:numId w:val="13"/>
        </w:numPr>
        <w:shd w:val="clear" w:color="auto" w:fill="FFFFFF"/>
        <w:spacing w:before="100" w:beforeAutospacing="1" w:after="100" w:afterAutospacing="1" w:line="360" w:lineRule="auto"/>
        <w:ind w:left="870"/>
        <w:textAlignment w:val="top"/>
        <w:rPr>
          <w:rFonts w:ascii="Verdana" w:eastAsia="Times New Roman" w:hAnsi="Verdana" w:cs="Times New Roman"/>
          <w:color w:val="444444"/>
          <w:sz w:val="18"/>
          <w:szCs w:val="18"/>
          <w:lang w:val="en" w:eastAsia="lv-LV"/>
        </w:rPr>
      </w:pPr>
      <w:r w:rsidRPr="00405C96">
        <w:rPr>
          <w:rFonts w:ascii="Verdana" w:eastAsia="Times New Roman" w:hAnsi="Verdana" w:cs="Times New Roman"/>
          <w:color w:val="444444"/>
          <w:sz w:val="18"/>
          <w:szCs w:val="18"/>
          <w:lang w:val="en" w:eastAsia="lv-LV"/>
        </w:rPr>
        <w:t>better-integrated, people-focused, service delivery;</w:t>
      </w:r>
    </w:p>
    <w:p w14:paraId="45634C64" w14:textId="77777777" w:rsidR="00405C96" w:rsidRPr="00405C96" w:rsidRDefault="00405C96" w:rsidP="00405C96">
      <w:pPr>
        <w:numPr>
          <w:ilvl w:val="0"/>
          <w:numId w:val="13"/>
        </w:numPr>
        <w:shd w:val="clear" w:color="auto" w:fill="FFFFFF"/>
        <w:spacing w:before="100" w:beforeAutospacing="1" w:after="100" w:afterAutospacing="1" w:line="360" w:lineRule="auto"/>
        <w:ind w:left="870"/>
        <w:textAlignment w:val="top"/>
        <w:rPr>
          <w:rFonts w:ascii="Verdana" w:eastAsia="Times New Roman" w:hAnsi="Verdana" w:cs="Times New Roman"/>
          <w:color w:val="444444"/>
          <w:sz w:val="18"/>
          <w:szCs w:val="18"/>
          <w:lang w:val="en" w:eastAsia="lv-LV"/>
        </w:rPr>
      </w:pPr>
      <w:r w:rsidRPr="00405C96">
        <w:rPr>
          <w:rFonts w:ascii="Verdana" w:eastAsia="Times New Roman" w:hAnsi="Verdana" w:cs="Times New Roman"/>
          <w:color w:val="444444"/>
          <w:sz w:val="18"/>
          <w:szCs w:val="18"/>
          <w:lang w:val="en" w:eastAsia="lv-LV"/>
        </w:rPr>
        <w:t>reducing fragmentation and improving the alignment of public services;</w:t>
      </w:r>
    </w:p>
    <w:p w14:paraId="0D766FD9" w14:textId="77777777" w:rsidR="00405C96" w:rsidRPr="00405C96" w:rsidRDefault="00405C96" w:rsidP="00405C96">
      <w:pPr>
        <w:numPr>
          <w:ilvl w:val="0"/>
          <w:numId w:val="13"/>
        </w:numPr>
        <w:shd w:val="clear" w:color="auto" w:fill="FFFFFF"/>
        <w:spacing w:before="100" w:beforeAutospacing="1" w:after="100" w:afterAutospacing="1" w:line="360" w:lineRule="auto"/>
        <w:ind w:left="870"/>
        <w:textAlignment w:val="top"/>
        <w:rPr>
          <w:rFonts w:ascii="Verdana" w:eastAsia="Times New Roman" w:hAnsi="Verdana" w:cs="Times New Roman"/>
          <w:color w:val="444444"/>
          <w:sz w:val="18"/>
          <w:szCs w:val="18"/>
          <w:lang w:val="en" w:eastAsia="lv-LV"/>
        </w:rPr>
      </w:pPr>
      <w:proofErr w:type="gramStart"/>
      <w:r w:rsidRPr="00405C96">
        <w:rPr>
          <w:rFonts w:ascii="Verdana" w:eastAsia="Times New Roman" w:hAnsi="Verdana" w:cs="Times New Roman"/>
          <w:color w:val="444444"/>
          <w:sz w:val="18"/>
          <w:szCs w:val="18"/>
          <w:lang w:val="en" w:eastAsia="lv-LV"/>
        </w:rPr>
        <w:t>enhancing</w:t>
      </w:r>
      <w:proofErr w:type="gramEnd"/>
      <w:r w:rsidRPr="00405C96">
        <w:rPr>
          <w:rFonts w:ascii="Verdana" w:eastAsia="Times New Roman" w:hAnsi="Verdana" w:cs="Times New Roman"/>
          <w:color w:val="444444"/>
          <w:sz w:val="18"/>
          <w:szCs w:val="18"/>
          <w:lang w:val="en" w:eastAsia="lv-LV"/>
        </w:rPr>
        <w:t xml:space="preserve"> the people and culture of the state sector.</w:t>
      </w:r>
    </w:p>
    <w:p w14:paraId="13AD914E" w14:textId="77777777" w:rsidR="00405C96" w:rsidRPr="00405C96" w:rsidRDefault="00405C96" w:rsidP="00405C96">
      <w:pPr>
        <w:shd w:val="clear" w:color="auto" w:fill="FFFFFF"/>
        <w:spacing w:before="100" w:beforeAutospacing="1" w:after="100" w:afterAutospacing="1" w:line="360" w:lineRule="atLeast"/>
        <w:textAlignment w:val="top"/>
        <w:rPr>
          <w:rFonts w:ascii="Verdana" w:eastAsia="Times New Roman" w:hAnsi="Verdana" w:cs="Times New Roman"/>
          <w:color w:val="444444"/>
          <w:sz w:val="18"/>
          <w:szCs w:val="18"/>
          <w:lang w:val="en" w:eastAsia="lv-LV"/>
        </w:rPr>
      </w:pPr>
      <w:r w:rsidRPr="00405C96">
        <w:rPr>
          <w:rFonts w:ascii="Verdana" w:eastAsia="Times New Roman" w:hAnsi="Verdana" w:cs="Times New Roman"/>
          <w:color w:val="444444"/>
          <w:sz w:val="18"/>
          <w:szCs w:val="18"/>
          <w:lang w:val="en" w:eastAsia="lv-LV"/>
        </w:rPr>
        <w:t>This review partly addressed the concerns raised by Schick, it crystallized a number of needs for improvements in ‘the New Zealand model’, and it resulted in the following changes:</w:t>
      </w:r>
    </w:p>
    <w:p w14:paraId="04AC1D07" w14:textId="77777777" w:rsidR="00405C96" w:rsidRPr="00405C96" w:rsidRDefault="00405C96" w:rsidP="00405C96">
      <w:pPr>
        <w:numPr>
          <w:ilvl w:val="0"/>
          <w:numId w:val="14"/>
        </w:numPr>
        <w:shd w:val="clear" w:color="auto" w:fill="FFFFFF"/>
        <w:spacing w:before="100" w:beforeAutospacing="1" w:after="100" w:afterAutospacing="1" w:line="360" w:lineRule="auto"/>
        <w:ind w:left="870"/>
        <w:textAlignment w:val="top"/>
        <w:rPr>
          <w:rFonts w:ascii="Verdana" w:eastAsia="Times New Roman" w:hAnsi="Verdana" w:cs="Times New Roman"/>
          <w:color w:val="444444"/>
          <w:sz w:val="18"/>
          <w:szCs w:val="18"/>
          <w:lang w:val="en" w:eastAsia="lv-LV"/>
        </w:rPr>
      </w:pPr>
      <w:r w:rsidRPr="00405C96">
        <w:rPr>
          <w:rFonts w:ascii="Verdana" w:eastAsia="Times New Roman" w:hAnsi="Verdana" w:cs="Times New Roman"/>
          <w:color w:val="444444"/>
          <w:sz w:val="18"/>
          <w:szCs w:val="18"/>
          <w:lang w:val="en" w:eastAsia="lv-LV"/>
        </w:rPr>
        <w:t>Focussing strategic management on outcomes, rather than only the production of outputs. The purchase of outputs was to be directly related to their contribution to broader outcomes. Departments must now produce an annual Statement of Intent that demonstrates the links between government’s high-level outcomes and specific departmental outputs; and funds are allocated in the Budget process to whole sectors, with Ministers competing for funds within those sectors. The funding of programmes (and the non-financial targets and other performance information associated with the programmes) continues, however, on the basis of Ministers purchasing a given level of outputs at a given unit price to a level of predetermined quality standards.</w:t>
      </w:r>
    </w:p>
    <w:p w14:paraId="59E25827" w14:textId="77777777" w:rsidR="00405C96" w:rsidRPr="00405C96" w:rsidRDefault="00405C96" w:rsidP="00405C96">
      <w:pPr>
        <w:numPr>
          <w:ilvl w:val="0"/>
          <w:numId w:val="14"/>
        </w:numPr>
        <w:shd w:val="clear" w:color="auto" w:fill="FFFFFF"/>
        <w:spacing w:before="100" w:beforeAutospacing="1" w:after="100" w:afterAutospacing="1" w:line="360" w:lineRule="auto"/>
        <w:ind w:left="870"/>
        <w:textAlignment w:val="top"/>
        <w:rPr>
          <w:rFonts w:ascii="Verdana" w:eastAsia="Times New Roman" w:hAnsi="Verdana" w:cs="Times New Roman"/>
          <w:color w:val="444444"/>
          <w:sz w:val="18"/>
          <w:szCs w:val="18"/>
          <w:lang w:val="en" w:eastAsia="lv-LV"/>
        </w:rPr>
      </w:pPr>
      <w:r w:rsidRPr="00405C96">
        <w:rPr>
          <w:rFonts w:ascii="Verdana" w:eastAsia="Times New Roman" w:hAnsi="Verdana" w:cs="Times New Roman"/>
          <w:color w:val="444444"/>
          <w:sz w:val="18"/>
          <w:szCs w:val="18"/>
          <w:lang w:val="en" w:eastAsia="lv-LV"/>
        </w:rPr>
        <w:t>Movement from ‘pure’ agency theory to a co-ordinated systems approach. Agencies must consider the interests of government as a whole and how their particular programmes relate to that. This has meant strengthening the role and powers of the central agencies (Department of Prime Minister and Cabinet, State Services Commission and Treasury) to ensure that integrated programmes are successfully implemented, though without ‘micro-managing’ departments from the centre.</w:t>
      </w:r>
    </w:p>
    <w:p w14:paraId="5B5CBC5D" w14:textId="77777777" w:rsidR="00405C96" w:rsidRPr="00405C96" w:rsidRDefault="00405C96" w:rsidP="00405C96">
      <w:pPr>
        <w:numPr>
          <w:ilvl w:val="0"/>
          <w:numId w:val="14"/>
        </w:numPr>
        <w:shd w:val="clear" w:color="auto" w:fill="FFFFFF"/>
        <w:spacing w:before="100" w:beforeAutospacing="1" w:after="100" w:afterAutospacing="1" w:line="360" w:lineRule="auto"/>
        <w:ind w:left="870"/>
        <w:textAlignment w:val="top"/>
        <w:rPr>
          <w:rFonts w:ascii="Verdana" w:eastAsia="Times New Roman" w:hAnsi="Verdana" w:cs="Times New Roman"/>
          <w:color w:val="444444"/>
          <w:sz w:val="18"/>
          <w:szCs w:val="18"/>
          <w:lang w:val="en" w:eastAsia="lv-LV"/>
        </w:rPr>
      </w:pPr>
      <w:r w:rsidRPr="00405C96">
        <w:rPr>
          <w:rFonts w:ascii="Verdana" w:eastAsia="Times New Roman" w:hAnsi="Verdana" w:cs="Times New Roman"/>
          <w:color w:val="444444"/>
          <w:sz w:val="18"/>
          <w:szCs w:val="18"/>
          <w:lang w:val="en" w:eastAsia="lv-LV"/>
        </w:rPr>
        <w:t>Abandonment of a ‘slavish’ adherence to the policy–operations and purchaser–provider splits, maintaining them only where it is considered necessary in the interests of efficient and effective delivery of public services.</w:t>
      </w:r>
    </w:p>
    <w:p w14:paraId="0FB320B8" w14:textId="77777777" w:rsidR="00405C96" w:rsidRPr="00405C96" w:rsidRDefault="00405C96" w:rsidP="00405C96">
      <w:pPr>
        <w:numPr>
          <w:ilvl w:val="0"/>
          <w:numId w:val="14"/>
        </w:numPr>
        <w:shd w:val="clear" w:color="auto" w:fill="FFFFFF"/>
        <w:spacing w:before="100" w:beforeAutospacing="1" w:after="100" w:afterAutospacing="1" w:line="360" w:lineRule="auto"/>
        <w:ind w:left="870"/>
        <w:textAlignment w:val="top"/>
        <w:rPr>
          <w:rFonts w:ascii="Verdana" w:eastAsia="Times New Roman" w:hAnsi="Verdana" w:cs="Times New Roman"/>
          <w:color w:val="444444"/>
          <w:sz w:val="18"/>
          <w:szCs w:val="18"/>
          <w:lang w:val="en" w:eastAsia="lv-LV"/>
        </w:rPr>
      </w:pPr>
      <w:r w:rsidRPr="00405C96">
        <w:rPr>
          <w:rFonts w:ascii="Verdana" w:eastAsia="Times New Roman" w:hAnsi="Verdana" w:cs="Times New Roman"/>
          <w:color w:val="444444"/>
          <w:sz w:val="18"/>
          <w:szCs w:val="18"/>
          <w:lang w:val="en" w:eastAsia="lv-LV"/>
        </w:rPr>
        <w:t>Re-establishing throughout the state sector (that is, in departments as well as non-departmental agencies) a culture of ethical, consumer-focussed, politically neutral, effective, efficient and equitable public service.</w:t>
      </w:r>
    </w:p>
    <w:p w14:paraId="65FAD9A8" w14:textId="77777777" w:rsidR="00405C96" w:rsidRPr="00405C96" w:rsidRDefault="00405C96" w:rsidP="00405C96">
      <w:pPr>
        <w:shd w:val="clear" w:color="auto" w:fill="FFFFFF"/>
        <w:spacing w:before="100" w:beforeAutospacing="1" w:after="100" w:afterAutospacing="1" w:line="360" w:lineRule="atLeast"/>
        <w:textAlignment w:val="top"/>
        <w:rPr>
          <w:rFonts w:ascii="Verdana" w:eastAsia="Times New Roman" w:hAnsi="Verdana" w:cs="Times New Roman"/>
          <w:color w:val="444444"/>
          <w:sz w:val="18"/>
          <w:szCs w:val="18"/>
          <w:lang w:val="en" w:eastAsia="lv-LV"/>
        </w:rPr>
      </w:pPr>
      <w:r w:rsidRPr="00405C96">
        <w:rPr>
          <w:rFonts w:ascii="Verdana" w:eastAsia="Times New Roman" w:hAnsi="Verdana" w:cs="Times New Roman"/>
          <w:color w:val="444444"/>
          <w:sz w:val="18"/>
          <w:szCs w:val="18"/>
          <w:lang w:val="en" w:eastAsia="lv-LV"/>
        </w:rPr>
        <w:t>Although many of the original NPM reforms have been left untouched, or have been enhanced (details below), the Labour-led government so significantly modified the ‘New Zealand model’ (Boston 1996) that it now only exists in a revised form (Chapman and Duncan 2007). The remainder of this section, therefore, provides some specific examples of the complex mixture of revision, change and continuity in the ‘New Zealand model’ of the new public management since 1999.</w:t>
      </w:r>
    </w:p>
    <w:p w14:paraId="637CDF51" w14:textId="77777777" w:rsidR="00405C96" w:rsidRPr="00405C96" w:rsidRDefault="00405C96" w:rsidP="00405C96">
      <w:pPr>
        <w:shd w:val="clear" w:color="auto" w:fill="FFFFFF"/>
        <w:spacing w:before="100" w:beforeAutospacing="1" w:after="100" w:afterAutospacing="1" w:line="360" w:lineRule="atLeast"/>
        <w:textAlignment w:val="top"/>
        <w:rPr>
          <w:rFonts w:ascii="Verdana" w:eastAsia="Times New Roman" w:hAnsi="Verdana" w:cs="Times New Roman"/>
          <w:color w:val="444444"/>
          <w:sz w:val="18"/>
          <w:szCs w:val="18"/>
          <w:lang w:val="en" w:eastAsia="lv-LV"/>
        </w:rPr>
      </w:pPr>
      <w:r w:rsidRPr="00405C96">
        <w:rPr>
          <w:rFonts w:ascii="Verdana" w:eastAsia="Times New Roman" w:hAnsi="Verdana" w:cs="Times New Roman"/>
          <w:b/>
          <w:bCs/>
          <w:color w:val="444444"/>
          <w:sz w:val="18"/>
          <w:szCs w:val="18"/>
          <w:lang w:val="en" w:eastAsia="lv-LV"/>
        </w:rPr>
        <w:t>The Reversal of Privatisation</w:t>
      </w:r>
      <w:r w:rsidRPr="00405C96">
        <w:rPr>
          <w:rFonts w:ascii="Verdana" w:eastAsia="Times New Roman" w:hAnsi="Verdana" w:cs="Times New Roman"/>
          <w:b/>
          <w:bCs/>
          <w:color w:val="444444"/>
          <w:sz w:val="18"/>
          <w:szCs w:val="18"/>
          <w:lang w:val="en" w:eastAsia="lv-LV"/>
        </w:rPr>
        <w:br/>
      </w:r>
      <w:r w:rsidRPr="00405C96">
        <w:rPr>
          <w:rFonts w:ascii="Verdana" w:eastAsia="Times New Roman" w:hAnsi="Verdana" w:cs="Times New Roman"/>
          <w:color w:val="444444"/>
          <w:sz w:val="18"/>
          <w:szCs w:val="18"/>
          <w:lang w:val="en" w:eastAsia="lv-LV"/>
        </w:rPr>
        <w:t>The rash of privatisations that occurred up to 1999 ceased – and even went into reverse – under the subsequent Labour-led governments. To some extent, this was because the remaining state-owned enterprises would not have been so easily disposed of in a financially profitable manner, without political risk. But, more significantly, during the three terms of the centre-left government, there were some re-nationalizations of previously privatized enterprises. The most prominent were Air New Zealand and the railways. Also, the government used its regulatory powers to prevent Auckland International Airport from falling into the hands of overseas private interests. But these decisions were made in reaction to circumstances (such as the need to inject capital into Air New Zealand to save it from bankruptcy) rather than being driven by an anti-business ideology or electoral manifesto.</w:t>
      </w:r>
    </w:p>
    <w:p w14:paraId="489005BC" w14:textId="77777777" w:rsidR="00405C96" w:rsidRPr="00405C96" w:rsidRDefault="00405C96" w:rsidP="00405C96">
      <w:pPr>
        <w:shd w:val="clear" w:color="auto" w:fill="FFFFFF"/>
        <w:spacing w:before="100" w:beforeAutospacing="1" w:after="100" w:afterAutospacing="1" w:line="360" w:lineRule="atLeast"/>
        <w:textAlignment w:val="top"/>
        <w:rPr>
          <w:rFonts w:ascii="Verdana" w:eastAsia="Times New Roman" w:hAnsi="Verdana" w:cs="Times New Roman"/>
          <w:color w:val="444444"/>
          <w:sz w:val="18"/>
          <w:szCs w:val="18"/>
          <w:lang w:val="en" w:eastAsia="lv-LV"/>
        </w:rPr>
      </w:pPr>
      <w:r w:rsidRPr="00405C96">
        <w:rPr>
          <w:rFonts w:ascii="Verdana" w:eastAsia="Times New Roman" w:hAnsi="Verdana" w:cs="Times New Roman"/>
          <w:color w:val="444444"/>
          <w:sz w:val="18"/>
          <w:szCs w:val="18"/>
          <w:lang w:val="en" w:eastAsia="lv-LV"/>
        </w:rPr>
        <w:t>The exception to this was the re-nationalization of workers’ compensation. In this case, the previous National-led government had opened the work-injury account of the accident compensation scheme to competitive provision in 1999. Six competing insurers underwrote the employers. But the Labour Party, well before the passage of the relevant legislation in 1998, had warned insurers entering this new market of its intention to renationalize, if elected. Once in power, Labour (and its coalition partner, the Alliance Party) moved quickly to carry out this ‘promise’ (Duncan 2002).</w:t>
      </w:r>
    </w:p>
    <w:p w14:paraId="5838D8EF" w14:textId="77777777" w:rsidR="00405C96" w:rsidRPr="00405C96" w:rsidRDefault="00405C96" w:rsidP="00405C96">
      <w:pPr>
        <w:shd w:val="clear" w:color="auto" w:fill="FFFFFF"/>
        <w:spacing w:before="100" w:beforeAutospacing="1" w:after="100" w:afterAutospacing="1" w:line="360" w:lineRule="atLeast"/>
        <w:textAlignment w:val="top"/>
        <w:rPr>
          <w:rFonts w:ascii="Verdana" w:eastAsia="Times New Roman" w:hAnsi="Verdana" w:cs="Times New Roman"/>
          <w:color w:val="444444"/>
          <w:sz w:val="18"/>
          <w:szCs w:val="18"/>
          <w:lang w:val="en" w:eastAsia="lv-LV"/>
        </w:rPr>
      </w:pPr>
      <w:r w:rsidRPr="00405C96">
        <w:rPr>
          <w:rFonts w:ascii="Verdana" w:eastAsia="Times New Roman" w:hAnsi="Verdana" w:cs="Times New Roman"/>
          <w:color w:val="444444"/>
          <w:sz w:val="18"/>
          <w:szCs w:val="18"/>
          <w:lang w:val="en" w:eastAsia="lv-LV"/>
        </w:rPr>
        <w:t>All of the other re-nationalizations, however, were in response to perceived problems arising from special circumstances. But the Labour-led government seemed to prefer re-nationalization to other remedies, even when officials were advising that other options were available. Their policy seemed to be that these were ‘strategic assets’ which needed to remain in New Zealand hands – even though no definition of what constituted a ‘strategic asset’ was ever publicly stated.</w:t>
      </w:r>
    </w:p>
    <w:p w14:paraId="17E72849" w14:textId="77777777" w:rsidR="00405C96" w:rsidRPr="00405C96" w:rsidRDefault="00405C96" w:rsidP="00405C96">
      <w:pPr>
        <w:shd w:val="clear" w:color="auto" w:fill="FFFFFF"/>
        <w:spacing w:before="100" w:beforeAutospacing="1" w:after="100" w:afterAutospacing="1" w:line="360" w:lineRule="atLeast"/>
        <w:textAlignment w:val="top"/>
        <w:rPr>
          <w:rFonts w:ascii="Verdana" w:eastAsia="Times New Roman" w:hAnsi="Verdana" w:cs="Times New Roman"/>
          <w:color w:val="444444"/>
          <w:sz w:val="18"/>
          <w:szCs w:val="18"/>
          <w:lang w:val="en" w:eastAsia="lv-LV"/>
        </w:rPr>
      </w:pPr>
      <w:r w:rsidRPr="00405C96">
        <w:rPr>
          <w:rFonts w:ascii="Verdana" w:eastAsia="Times New Roman" w:hAnsi="Verdana" w:cs="Times New Roman"/>
          <w:b/>
          <w:bCs/>
          <w:color w:val="444444"/>
          <w:sz w:val="18"/>
          <w:szCs w:val="18"/>
          <w:lang w:val="en" w:eastAsia="lv-LV"/>
        </w:rPr>
        <w:t>Reintegration of Policy–Operations and Purchaser–Provider Splits</w:t>
      </w:r>
      <w:r w:rsidRPr="00405C96">
        <w:rPr>
          <w:rFonts w:ascii="Verdana" w:eastAsia="Times New Roman" w:hAnsi="Verdana" w:cs="Times New Roman"/>
          <w:b/>
          <w:bCs/>
          <w:color w:val="444444"/>
          <w:sz w:val="18"/>
          <w:szCs w:val="18"/>
          <w:lang w:val="en" w:eastAsia="lv-LV"/>
        </w:rPr>
        <w:br/>
      </w:r>
      <w:r w:rsidRPr="00405C96">
        <w:rPr>
          <w:rFonts w:ascii="Verdana" w:eastAsia="Times New Roman" w:hAnsi="Verdana" w:cs="Times New Roman"/>
          <w:color w:val="444444"/>
          <w:sz w:val="18"/>
          <w:szCs w:val="18"/>
          <w:lang w:val="en" w:eastAsia="lv-LV"/>
        </w:rPr>
        <w:t>Among the main principles for public management laid out by the Treasury (1987) at the initiation of the reform process, was the requirement for clarity of objectives, leading to a preference for disaggregated organizational structures with larger numbers of relatively small, single-purpose agencies. In order to reduce the opportunities for ‘policy capture’, policy-advisory ministries were to be separated from agencies tasked with service delivery. In addition, the creation of competitive quasi-markets for publicly-funded services necessitated the separation of funding agencies from service-providers. The health-sector reforms of 1993 (Ashton 1999) were a good example of this form of restructuring.</w:t>
      </w:r>
    </w:p>
    <w:p w14:paraId="1A013BBC" w14:textId="77777777" w:rsidR="00405C96" w:rsidRPr="00405C96" w:rsidRDefault="00405C96" w:rsidP="00405C96">
      <w:pPr>
        <w:shd w:val="clear" w:color="auto" w:fill="FFFFFF"/>
        <w:spacing w:before="100" w:beforeAutospacing="1" w:after="100" w:afterAutospacing="1" w:line="360" w:lineRule="atLeast"/>
        <w:textAlignment w:val="top"/>
        <w:rPr>
          <w:rFonts w:ascii="Verdana" w:eastAsia="Times New Roman" w:hAnsi="Verdana" w:cs="Times New Roman"/>
          <w:color w:val="444444"/>
          <w:sz w:val="18"/>
          <w:szCs w:val="18"/>
          <w:lang w:val="en" w:eastAsia="lv-LV"/>
        </w:rPr>
      </w:pPr>
      <w:r w:rsidRPr="00405C96">
        <w:rPr>
          <w:rFonts w:ascii="Verdana" w:eastAsia="Times New Roman" w:hAnsi="Verdana" w:cs="Times New Roman"/>
          <w:color w:val="444444"/>
          <w:sz w:val="18"/>
          <w:szCs w:val="18"/>
          <w:lang w:val="en" w:eastAsia="lv-LV"/>
        </w:rPr>
        <w:t>Now, while the Labour-led government never produced an explicit policy announcing the end of the policy–operations and purchaser–provider splits, its actions did suggest that these structural principles no longer strictly applied in Wellington. Examples of mergers of policy and provider agencies under Labour were: the former Department of Courts into the Ministry of Justice, the Special Education Service into the Ministry of Education, and the Child Youth and Family Service into the Ministry of Social Development. But, in nearly all such cases, departments carrying out both policy and operational functions have preserved such splits divisionally, within their departmental structures. A good example of this is the Ministry of Economic Development, which has a wide range of functions under nine ministerial portfolios. It has incorporated the Ministries of Consumer Affairs and Tourism, but kept them as distinct units. In the health sector, the formal separation of funding from service delivery, effected in 1993, was collapsed by the Labour-led government’s creation of District Health Boards, which incorporate both functions – although the governance, purchasing of services, and in-house service delivery (public hospitals) are separate, ‘ring-fenced’ budget items. So, to some extent, the principle of keeping policy and operational functions, and funder and provider, separate has been preserved. But these functions have been organizationally reintegrated.</w:t>
      </w:r>
      <w:r w:rsidRPr="00405C96">
        <w:rPr>
          <w:rFonts w:ascii="Verdana" w:eastAsia="Times New Roman" w:hAnsi="Verdana" w:cs="Times New Roman"/>
          <w:color w:val="444444"/>
          <w:sz w:val="18"/>
          <w:szCs w:val="18"/>
          <w:lang w:val="en" w:eastAsia="lv-LV"/>
        </w:rPr>
        <w:br w:type="page"/>
      </w:r>
    </w:p>
    <w:p w14:paraId="3C5D4C27" w14:textId="77777777" w:rsidR="00405C96" w:rsidRPr="00405C96" w:rsidRDefault="00405C96" w:rsidP="00405C96">
      <w:pPr>
        <w:shd w:val="clear" w:color="auto" w:fill="FFFFFF"/>
        <w:spacing w:before="100" w:beforeAutospacing="1" w:after="100" w:afterAutospacing="1" w:line="360" w:lineRule="atLeast"/>
        <w:textAlignment w:val="top"/>
        <w:rPr>
          <w:rFonts w:ascii="Verdana" w:eastAsia="Times New Roman" w:hAnsi="Verdana" w:cs="Times New Roman"/>
          <w:color w:val="444444"/>
          <w:sz w:val="18"/>
          <w:szCs w:val="18"/>
          <w:lang w:val="en" w:eastAsia="lv-LV"/>
        </w:rPr>
      </w:pPr>
      <w:r w:rsidRPr="00405C96">
        <w:rPr>
          <w:rFonts w:ascii="Verdana" w:eastAsia="Times New Roman" w:hAnsi="Verdana" w:cs="Times New Roman"/>
          <w:b/>
          <w:bCs/>
          <w:color w:val="444444"/>
          <w:sz w:val="18"/>
          <w:szCs w:val="18"/>
          <w:lang w:val="en" w:eastAsia="lv-LV"/>
        </w:rPr>
        <w:t>From Contracting-Out to Funding for Outcomes</w:t>
      </w:r>
      <w:r w:rsidRPr="00405C96">
        <w:rPr>
          <w:rFonts w:ascii="Verdana" w:eastAsia="Times New Roman" w:hAnsi="Verdana" w:cs="Times New Roman"/>
          <w:color w:val="444444"/>
          <w:sz w:val="18"/>
          <w:szCs w:val="18"/>
          <w:lang w:val="en" w:eastAsia="lv-LV"/>
        </w:rPr>
        <w:br/>
      </w:r>
      <w:proofErr w:type="gramStart"/>
      <w:r w:rsidRPr="00405C96">
        <w:rPr>
          <w:rFonts w:ascii="Verdana" w:eastAsia="Times New Roman" w:hAnsi="Verdana" w:cs="Times New Roman"/>
          <w:color w:val="444444"/>
          <w:sz w:val="18"/>
          <w:szCs w:val="18"/>
          <w:lang w:val="en" w:eastAsia="lv-LV"/>
        </w:rPr>
        <w:t>One</w:t>
      </w:r>
      <w:proofErr w:type="gramEnd"/>
      <w:r w:rsidRPr="00405C96">
        <w:rPr>
          <w:rFonts w:ascii="Verdana" w:eastAsia="Times New Roman" w:hAnsi="Verdana" w:cs="Times New Roman"/>
          <w:color w:val="444444"/>
          <w:sz w:val="18"/>
          <w:szCs w:val="18"/>
          <w:lang w:val="en" w:eastAsia="lv-LV"/>
        </w:rPr>
        <w:t xml:space="preserve"> of the outstanding features of the New Zealand model, commented upon by Schick (1996), was the extent to which public services (especially in health and social services) were being contracted out to private-enterprise and not-for-profit organizations. These contracts were normally on a competitive basis, and were for specified non-departmental outputs. They included performance criteria in regard to volumes and quality of service, and they entailed information requirements from the agencies for accountability purposes. The New Zealand experience of this ‘new contractualism’, however, has not always been positive. Many agencies, especially smaller community and Maori agencies, found the contracting process imposed heavy transaction costs due to their complexity and their accountability requirements. This often conflicted with the values and culture of those organizations, and too frequently mistrust became a feature of principal–agent relationships. Furthermore, any single community agency could find itself having to contract with more than one government department to provide diverse services, with little co-ordination, but with duplication of contracting and accounting activities. Otherwise independent agencies felt that they were forced to comply with the policy objectives of government, including the provision of detailed information, but often with inadequate funding that still left them having to meet their needs through charitable donations (Stace and Cumming 2006).</w:t>
      </w:r>
    </w:p>
    <w:p w14:paraId="623F3820" w14:textId="77777777" w:rsidR="00405C96" w:rsidRPr="00405C96" w:rsidRDefault="00405C96" w:rsidP="00405C96">
      <w:pPr>
        <w:shd w:val="clear" w:color="auto" w:fill="FFFFFF"/>
        <w:spacing w:before="100" w:beforeAutospacing="1" w:after="100" w:afterAutospacing="1" w:line="360" w:lineRule="atLeast"/>
        <w:textAlignment w:val="top"/>
        <w:rPr>
          <w:rFonts w:ascii="Verdana" w:eastAsia="Times New Roman" w:hAnsi="Verdana" w:cs="Times New Roman"/>
          <w:color w:val="444444"/>
          <w:sz w:val="18"/>
          <w:szCs w:val="18"/>
          <w:lang w:val="en" w:eastAsia="lv-LV"/>
        </w:rPr>
      </w:pPr>
      <w:r w:rsidRPr="00405C96">
        <w:rPr>
          <w:rFonts w:ascii="Verdana" w:eastAsia="Times New Roman" w:hAnsi="Verdana" w:cs="Times New Roman"/>
          <w:color w:val="444444"/>
          <w:sz w:val="18"/>
          <w:szCs w:val="18"/>
          <w:lang w:val="en" w:eastAsia="lv-LV"/>
        </w:rPr>
        <w:t>Under the Labour-led government, efforts were made to bring some common sense and co-ordination into these complex relationships and networks. One recent development was the introduction of integrated contracting for services provided to departments and Crown entities by non-government organisations (NGOs). This project, called Funding for Outcomes, and led by the Ministry of Social Development, seeks to integrate the many different contractual arrangements that NGOs have with departments and Crown entities, to provide standard contract templates and reporting requirements, and to break down the ‘siloed’ approach that arises from dealing with several government agencies. A key feature of this is the determination of the outcomes to be achieved by a particular NGO in the services it provides to its clientele, whoever the funder may be. This appears to have led to a more holistic approach to contracting out the delivery of social services to particular groups (e.g. Maori, disability support), while retaining the responsibility of each agency for its own portfolio, accountability and relationships (Pomeroy 2007). So, contracting out still occurs under this model, but there is more focus on social outcomes and on inter-agency coordination. Furthermore, funding in areas such as scientific research has become less competitive and more concerned with the maintenance of institutional capacity and long-term stability of resource streams.</w:t>
      </w:r>
    </w:p>
    <w:p w14:paraId="2E591A2A" w14:textId="77777777" w:rsidR="00405C96" w:rsidRPr="00405C96" w:rsidRDefault="00405C96" w:rsidP="00405C96">
      <w:pPr>
        <w:shd w:val="clear" w:color="auto" w:fill="FFFFFF"/>
        <w:spacing w:before="100" w:beforeAutospacing="1" w:after="100" w:afterAutospacing="1" w:line="360" w:lineRule="atLeast"/>
        <w:textAlignment w:val="top"/>
        <w:rPr>
          <w:rFonts w:ascii="Verdana" w:eastAsia="Times New Roman" w:hAnsi="Verdana" w:cs="Times New Roman"/>
          <w:color w:val="444444"/>
          <w:sz w:val="18"/>
          <w:szCs w:val="18"/>
          <w:lang w:val="en" w:eastAsia="lv-LV"/>
        </w:rPr>
      </w:pPr>
      <w:r w:rsidRPr="00405C96">
        <w:rPr>
          <w:rFonts w:ascii="Verdana" w:eastAsia="Times New Roman" w:hAnsi="Verdana" w:cs="Times New Roman"/>
          <w:b/>
          <w:bCs/>
          <w:color w:val="444444"/>
          <w:sz w:val="18"/>
          <w:szCs w:val="18"/>
          <w:lang w:val="en" w:eastAsia="lv-LV"/>
        </w:rPr>
        <w:t>Ideals of Public Service and Leadership</w:t>
      </w:r>
      <w:r w:rsidRPr="00405C96">
        <w:rPr>
          <w:rFonts w:ascii="Verdana" w:eastAsia="Times New Roman" w:hAnsi="Verdana" w:cs="Times New Roman"/>
          <w:b/>
          <w:bCs/>
          <w:color w:val="444444"/>
          <w:sz w:val="18"/>
          <w:szCs w:val="18"/>
          <w:lang w:val="en" w:eastAsia="lv-LV"/>
        </w:rPr>
        <w:br/>
      </w:r>
      <w:r w:rsidRPr="00405C96">
        <w:rPr>
          <w:rFonts w:ascii="Verdana" w:eastAsia="Times New Roman" w:hAnsi="Verdana" w:cs="Times New Roman"/>
          <w:color w:val="444444"/>
          <w:sz w:val="18"/>
          <w:szCs w:val="18"/>
          <w:lang w:val="en" w:eastAsia="lv-LV"/>
        </w:rPr>
        <w:t>As part of its responsibilities for ‘strengthening the centre’, the State Services Commission, from 2005, initiated a set of ‘Development Goals for the State Services’. These apply to departments, offices of Parliament and Crown entities and have been revised annually. The overarching goal, as set out in 2008, is to develop ‘a system of world class professional State Services serving the government of the day and meeting the needs of New Zealanders’, while the specific goals emphasise, among other things, networking through new technologies, system-wide coordination, responsiveness, service and trust (State Services Commission 2008a). This illustrates SSC’s strengthened coordination role within the state sector. That role was reinforced by legislation in 2004, and thus contrasts with the ‘back-seat’ position, in relation to the Treasury, that it took in the reform era of the late 1980s and early 1990s (Chapman and Duncan 2007). These new goals refer to co-ordination and to the ‘spirit of service’, whereas the public-choice theory-driven NPM reforms tended to emphasise competitiveness and utility-maximization (Boston 1996), thus also reflecting the ongoing revision of NPM.</w:t>
      </w:r>
    </w:p>
    <w:p w14:paraId="2B4D7E5F" w14:textId="77777777" w:rsidR="00405C96" w:rsidRPr="00405C96" w:rsidRDefault="00405C96" w:rsidP="00405C96">
      <w:pPr>
        <w:shd w:val="clear" w:color="auto" w:fill="FFFFFF"/>
        <w:spacing w:before="100" w:beforeAutospacing="1" w:after="100" w:afterAutospacing="1" w:line="360" w:lineRule="atLeast"/>
        <w:textAlignment w:val="top"/>
        <w:rPr>
          <w:rFonts w:ascii="Verdana" w:eastAsia="Times New Roman" w:hAnsi="Verdana" w:cs="Times New Roman"/>
          <w:color w:val="444444"/>
          <w:sz w:val="18"/>
          <w:szCs w:val="18"/>
          <w:lang w:val="en" w:eastAsia="lv-LV"/>
        </w:rPr>
      </w:pPr>
      <w:r w:rsidRPr="00405C96">
        <w:rPr>
          <w:rFonts w:ascii="Verdana" w:eastAsia="Times New Roman" w:hAnsi="Verdana" w:cs="Times New Roman"/>
          <w:color w:val="444444"/>
          <w:sz w:val="18"/>
          <w:szCs w:val="18"/>
          <w:lang w:val="en" w:eastAsia="lv-LV"/>
        </w:rPr>
        <w:t>The SSC lost its centralized public-service role in industrial relations after the implementation of the State Sector Act 1988, when it was assumed that a competitive labour market would efficiently supply organizations’ needs regarding skilled employees, including senior managers. But SSC’s present activities suggest a more proactive approach to workforce development, especially regarding the development of the next generation of chief executives. To that effect, it has instituted a Leadership Development Centre, which describes its role as ‘senior leadership management and development in the public sector’ (Leadership Development Centre 2008).</w:t>
      </w:r>
    </w:p>
    <w:p w14:paraId="56F5D66E" w14:textId="77777777" w:rsidR="00405C96" w:rsidRPr="00405C96" w:rsidRDefault="00405C96" w:rsidP="00405C96">
      <w:pPr>
        <w:shd w:val="clear" w:color="auto" w:fill="FFFFFF"/>
        <w:spacing w:before="100" w:beforeAutospacing="1" w:after="100" w:afterAutospacing="1" w:line="360" w:lineRule="atLeast"/>
        <w:textAlignment w:val="top"/>
        <w:rPr>
          <w:rFonts w:ascii="Verdana" w:eastAsia="Times New Roman" w:hAnsi="Verdana" w:cs="Times New Roman"/>
          <w:color w:val="444444"/>
          <w:sz w:val="18"/>
          <w:szCs w:val="18"/>
          <w:lang w:val="en" w:eastAsia="lv-LV"/>
        </w:rPr>
      </w:pPr>
      <w:r w:rsidRPr="00405C96">
        <w:rPr>
          <w:rFonts w:ascii="Verdana" w:eastAsia="Times New Roman" w:hAnsi="Verdana" w:cs="Times New Roman"/>
          <w:color w:val="444444"/>
          <w:sz w:val="18"/>
          <w:szCs w:val="18"/>
          <w:lang w:val="en" w:eastAsia="lv-LV"/>
        </w:rPr>
        <w:t>In contrast, therefore, with the individualism of public-choice theory, the state sector has seen a return to notions of public service and ethics, with a more strategic development of the workforce, particularly future leaders. While this by no means represents a diminution in the responsibilities of departmental chief executives as employers, it does represent a shift away from a faith in ‘the market’ to supply the necessary skills, away from individualism and competition as drivers of accountability, and back towards notions of collective ethics and service to the public. This approach is premised also on the goal of raising public trust in state services – trust which, it is implied, may have been corroded by the competitive, market-driven model of earlier years.</w:t>
      </w:r>
    </w:p>
    <w:p w14:paraId="30302496" w14:textId="77777777" w:rsidR="00405C96" w:rsidRPr="00405C96" w:rsidRDefault="00405C96" w:rsidP="00405C96">
      <w:pPr>
        <w:shd w:val="clear" w:color="auto" w:fill="FFFFFF"/>
        <w:spacing w:before="100" w:beforeAutospacing="1" w:after="100" w:afterAutospacing="1" w:line="360" w:lineRule="atLeast"/>
        <w:textAlignment w:val="top"/>
        <w:rPr>
          <w:rFonts w:ascii="Verdana" w:eastAsia="Times New Roman" w:hAnsi="Verdana" w:cs="Times New Roman"/>
          <w:color w:val="444444"/>
          <w:sz w:val="18"/>
          <w:szCs w:val="18"/>
          <w:lang w:val="en" w:eastAsia="lv-LV"/>
        </w:rPr>
      </w:pPr>
      <w:r w:rsidRPr="00405C96">
        <w:rPr>
          <w:rFonts w:ascii="Verdana" w:eastAsia="Times New Roman" w:hAnsi="Verdana" w:cs="Times New Roman"/>
          <w:color w:val="444444"/>
          <w:sz w:val="18"/>
          <w:szCs w:val="18"/>
          <w:lang w:val="en" w:eastAsia="lv-LV"/>
        </w:rPr>
        <w:t>The NPM reforms in New Zealand had also frequently applied a ‘quango’ model that sought to devolve certain responsibilities to ‘arm’s-length’ organizations that would operate relatively independently of ministers and departments, with their own governing boards, and yet with clearly mandated statutory objectives. In New Zealand, such organizations are known as Crown entities, and they include a wide range of functions (advisory, regulatory, service, funding) and structures. The Labour-led government came into office with the aim of addressing some politically contentious matters that had arisen from some Crown entities, but this would mean reducing their independence to some degree in order to ensure compliance with ethical standards. These reforms were encapsulated in the Crown Entities Act 2004.</w:t>
      </w:r>
    </w:p>
    <w:p w14:paraId="41F8542D" w14:textId="77777777" w:rsidR="00405C96" w:rsidRPr="00405C96" w:rsidRDefault="00405C96" w:rsidP="00405C96">
      <w:pPr>
        <w:shd w:val="clear" w:color="auto" w:fill="FFFFFF"/>
        <w:spacing w:before="100" w:beforeAutospacing="1" w:after="100" w:afterAutospacing="1" w:line="360" w:lineRule="atLeast"/>
        <w:textAlignment w:val="top"/>
        <w:rPr>
          <w:rFonts w:ascii="Verdana" w:eastAsia="Times New Roman" w:hAnsi="Verdana" w:cs="Times New Roman"/>
          <w:color w:val="444444"/>
          <w:sz w:val="18"/>
          <w:szCs w:val="18"/>
          <w:lang w:val="en" w:eastAsia="lv-LV"/>
        </w:rPr>
      </w:pPr>
      <w:r w:rsidRPr="00405C96">
        <w:rPr>
          <w:rFonts w:ascii="Verdana" w:eastAsia="Times New Roman" w:hAnsi="Verdana" w:cs="Times New Roman"/>
          <w:color w:val="444444"/>
          <w:sz w:val="18"/>
          <w:szCs w:val="18"/>
          <w:lang w:val="en" w:eastAsia="lv-LV"/>
        </w:rPr>
        <w:t>Two principles were adopted. First, the concept of a uniform governance and accountability model was deemed to be the best way to ensure consistency in how these entities are established, governed, managed and held accountable. Thus the responsibilities and relationships between responsible minister, board (or statutory officer, in the case of the few entities constituted as corporations sole), chief executive and staff were laid down in a more uniform manner. Secondly, all Crown entities were classified under four categories: Crown agents (agencies implementing government policy); Autonomous Entities (agencies conducting statutory responsibilities within the framework of government policy); Independent Entities (agencies carrying out statutory functions on an independent basis); Crown companies (agencies constituted as companies and generally having a mixture of commercial and social responsibilities).</w:t>
      </w:r>
    </w:p>
    <w:p w14:paraId="6EC21956" w14:textId="77777777" w:rsidR="00405C96" w:rsidRPr="00405C96" w:rsidRDefault="00405C96" w:rsidP="00405C96">
      <w:pPr>
        <w:shd w:val="clear" w:color="auto" w:fill="FFFFFF"/>
        <w:spacing w:before="100" w:beforeAutospacing="1" w:after="100" w:afterAutospacing="1" w:line="360" w:lineRule="atLeast"/>
        <w:textAlignment w:val="top"/>
        <w:rPr>
          <w:rFonts w:ascii="Verdana" w:eastAsia="Times New Roman" w:hAnsi="Verdana" w:cs="Times New Roman"/>
          <w:color w:val="444444"/>
          <w:sz w:val="18"/>
          <w:szCs w:val="18"/>
          <w:lang w:val="en" w:eastAsia="lv-LV"/>
        </w:rPr>
      </w:pPr>
      <w:r w:rsidRPr="00405C96">
        <w:rPr>
          <w:rFonts w:ascii="Verdana" w:eastAsia="Times New Roman" w:hAnsi="Verdana" w:cs="Times New Roman"/>
          <w:color w:val="444444"/>
          <w:sz w:val="18"/>
          <w:szCs w:val="18"/>
          <w:lang w:val="en" w:eastAsia="lv-LV"/>
        </w:rPr>
        <w:t>This classification determines the extent to which the governing boards of these entities may act independently of the government, and the extent to which Ministers can issue directions to them, and it provides for different arrangements for the appointment and removal of members of their governing boards (depending on the extent to which board members’ independence from ministerial control is considered necessary). These reforms have ensured that all parties have certainty over the governance and accountability arrangements to be adopted. So, while this was a prudent reform to ensure greater certainty and discipline, it also reduced ‘freedom to manage’ and organizational independence.</w:t>
      </w:r>
    </w:p>
    <w:p w14:paraId="2752F407" w14:textId="77777777" w:rsidR="00405C96" w:rsidRPr="00405C96" w:rsidRDefault="00405C96" w:rsidP="00405C96">
      <w:pPr>
        <w:shd w:val="clear" w:color="auto" w:fill="FFFFFF"/>
        <w:spacing w:before="100" w:beforeAutospacing="1" w:after="100" w:afterAutospacing="1" w:line="360" w:lineRule="atLeast"/>
        <w:textAlignment w:val="top"/>
        <w:rPr>
          <w:rFonts w:ascii="Verdana" w:eastAsia="Times New Roman" w:hAnsi="Verdana" w:cs="Times New Roman"/>
          <w:color w:val="444444"/>
          <w:sz w:val="18"/>
          <w:szCs w:val="18"/>
          <w:lang w:val="en" w:eastAsia="lv-LV"/>
        </w:rPr>
      </w:pPr>
      <w:r w:rsidRPr="00405C96">
        <w:rPr>
          <w:rFonts w:ascii="Verdana" w:eastAsia="Times New Roman" w:hAnsi="Verdana" w:cs="Times New Roman"/>
          <w:b/>
          <w:bCs/>
          <w:color w:val="444444"/>
          <w:sz w:val="18"/>
          <w:szCs w:val="18"/>
          <w:lang w:val="en" w:eastAsia="lv-LV"/>
        </w:rPr>
        <w:t>Preservation of Some NPM Principles</w:t>
      </w:r>
      <w:r w:rsidRPr="00405C96">
        <w:rPr>
          <w:rFonts w:ascii="Verdana" w:eastAsia="Times New Roman" w:hAnsi="Verdana" w:cs="Times New Roman"/>
          <w:b/>
          <w:bCs/>
          <w:color w:val="444444"/>
          <w:sz w:val="18"/>
          <w:szCs w:val="18"/>
          <w:lang w:val="en" w:eastAsia="lv-LV"/>
        </w:rPr>
        <w:br/>
      </w:r>
      <w:r w:rsidRPr="00405C96">
        <w:rPr>
          <w:rFonts w:ascii="Verdana" w:eastAsia="Times New Roman" w:hAnsi="Verdana" w:cs="Times New Roman"/>
          <w:color w:val="444444"/>
          <w:sz w:val="18"/>
          <w:szCs w:val="18"/>
          <w:lang w:val="en" w:eastAsia="lv-LV"/>
        </w:rPr>
        <w:t>The Labour-led government has not changed all of the fundamental principles underlying the NPM reforms. It did, however, amend and enhance the key Acts of Parliament that empowered the reforms. In 2004, after extensive consultation with the opposition, it passed an omnibus Bill that resulted in amendments to the State Sector Act 1988, Public Finance Act 1989, and Fiscal Responsibility Act 1994. The main effects of these amendments were:</w:t>
      </w:r>
    </w:p>
    <w:p w14:paraId="346866B8" w14:textId="77777777" w:rsidR="00405C96" w:rsidRPr="00405C96" w:rsidRDefault="00405C96" w:rsidP="00405C96">
      <w:pPr>
        <w:numPr>
          <w:ilvl w:val="0"/>
          <w:numId w:val="15"/>
        </w:numPr>
        <w:shd w:val="clear" w:color="auto" w:fill="FFFFFF"/>
        <w:spacing w:before="100" w:beforeAutospacing="1" w:after="100" w:afterAutospacing="1" w:line="360" w:lineRule="auto"/>
        <w:ind w:left="870"/>
        <w:textAlignment w:val="top"/>
        <w:rPr>
          <w:rFonts w:ascii="Verdana" w:eastAsia="Times New Roman" w:hAnsi="Verdana" w:cs="Times New Roman"/>
          <w:color w:val="444444"/>
          <w:sz w:val="18"/>
          <w:szCs w:val="18"/>
          <w:lang w:val="en" w:eastAsia="lv-LV"/>
        </w:rPr>
      </w:pPr>
      <w:r w:rsidRPr="00405C96">
        <w:rPr>
          <w:rFonts w:ascii="Verdana" w:eastAsia="Times New Roman" w:hAnsi="Verdana" w:cs="Times New Roman"/>
          <w:color w:val="444444"/>
          <w:sz w:val="18"/>
          <w:szCs w:val="18"/>
          <w:lang w:val="en" w:eastAsia="lv-LV"/>
        </w:rPr>
        <w:t>To allow for greater flexibility in sharing appropriations across ministerial portfolios and for one department to deliver or contract services on behalf of another.</w:t>
      </w:r>
    </w:p>
    <w:p w14:paraId="243960D6" w14:textId="77777777" w:rsidR="00405C96" w:rsidRPr="00405C96" w:rsidRDefault="00405C96" w:rsidP="00405C96">
      <w:pPr>
        <w:numPr>
          <w:ilvl w:val="0"/>
          <w:numId w:val="15"/>
        </w:numPr>
        <w:shd w:val="clear" w:color="auto" w:fill="FFFFFF"/>
        <w:spacing w:before="100" w:beforeAutospacing="1" w:after="100" w:afterAutospacing="1" w:line="360" w:lineRule="auto"/>
        <w:ind w:left="870"/>
        <w:textAlignment w:val="top"/>
        <w:rPr>
          <w:rFonts w:ascii="Verdana" w:eastAsia="Times New Roman" w:hAnsi="Verdana" w:cs="Times New Roman"/>
          <w:color w:val="444444"/>
          <w:sz w:val="18"/>
          <w:szCs w:val="18"/>
          <w:lang w:val="en" w:eastAsia="lv-LV"/>
        </w:rPr>
      </w:pPr>
      <w:r w:rsidRPr="00405C96">
        <w:rPr>
          <w:rFonts w:ascii="Verdana" w:eastAsia="Times New Roman" w:hAnsi="Verdana" w:cs="Times New Roman"/>
          <w:color w:val="444444"/>
          <w:sz w:val="18"/>
          <w:szCs w:val="18"/>
          <w:lang w:val="en" w:eastAsia="lv-LV"/>
        </w:rPr>
        <w:t>To widen the mandate of the State Services Commissioner beyond the core public service to the whole state sector, and to provide for a stronger role in leadership development and public-service ethics.</w:t>
      </w:r>
    </w:p>
    <w:p w14:paraId="4844A9DD" w14:textId="77777777" w:rsidR="00405C96" w:rsidRPr="00405C96" w:rsidRDefault="00405C96" w:rsidP="00405C96">
      <w:pPr>
        <w:numPr>
          <w:ilvl w:val="0"/>
          <w:numId w:val="15"/>
        </w:numPr>
        <w:shd w:val="clear" w:color="auto" w:fill="FFFFFF"/>
        <w:spacing w:before="100" w:beforeAutospacing="1" w:after="100" w:afterAutospacing="1" w:line="360" w:lineRule="auto"/>
        <w:ind w:left="870"/>
        <w:textAlignment w:val="top"/>
        <w:rPr>
          <w:rFonts w:ascii="Verdana" w:eastAsia="Times New Roman" w:hAnsi="Verdana" w:cs="Times New Roman"/>
          <w:color w:val="444444"/>
          <w:sz w:val="18"/>
          <w:szCs w:val="18"/>
          <w:lang w:val="en" w:eastAsia="lv-LV"/>
        </w:rPr>
      </w:pPr>
      <w:r w:rsidRPr="00405C96">
        <w:rPr>
          <w:rFonts w:ascii="Verdana" w:eastAsia="Times New Roman" w:hAnsi="Verdana" w:cs="Times New Roman"/>
          <w:color w:val="444444"/>
          <w:sz w:val="18"/>
          <w:szCs w:val="18"/>
          <w:lang w:val="en" w:eastAsia="lv-LV"/>
        </w:rPr>
        <w:t>To extend public-sector standards of accountability to Crown entities.</w:t>
      </w:r>
    </w:p>
    <w:p w14:paraId="0D355F00" w14:textId="77777777" w:rsidR="00405C96" w:rsidRPr="00405C96" w:rsidRDefault="00405C96" w:rsidP="00405C96">
      <w:pPr>
        <w:shd w:val="clear" w:color="auto" w:fill="FFFFFF"/>
        <w:spacing w:before="100" w:beforeAutospacing="1" w:after="100" w:afterAutospacing="1" w:line="360" w:lineRule="atLeast"/>
        <w:textAlignment w:val="top"/>
        <w:rPr>
          <w:rFonts w:ascii="Verdana" w:eastAsia="Times New Roman" w:hAnsi="Verdana" w:cs="Times New Roman"/>
          <w:color w:val="444444"/>
          <w:sz w:val="18"/>
          <w:szCs w:val="18"/>
          <w:lang w:val="en" w:eastAsia="lv-LV"/>
        </w:rPr>
      </w:pPr>
      <w:r w:rsidRPr="00405C96">
        <w:rPr>
          <w:rFonts w:ascii="Verdana" w:eastAsia="Times New Roman" w:hAnsi="Verdana" w:cs="Times New Roman"/>
          <w:color w:val="444444"/>
          <w:sz w:val="18"/>
          <w:szCs w:val="18"/>
          <w:lang w:val="en" w:eastAsia="lv-LV"/>
        </w:rPr>
        <w:t>These changes amount to significant refinements, rather than major changes to the basic NPM model itself.</w:t>
      </w:r>
    </w:p>
    <w:p w14:paraId="538A4310" w14:textId="77777777" w:rsidR="00405C96" w:rsidRPr="00405C96" w:rsidRDefault="00405C96" w:rsidP="00405C96">
      <w:pPr>
        <w:shd w:val="clear" w:color="auto" w:fill="FFFFFF"/>
        <w:spacing w:before="100" w:beforeAutospacing="1" w:after="100" w:afterAutospacing="1" w:line="360" w:lineRule="atLeast"/>
        <w:textAlignment w:val="top"/>
        <w:rPr>
          <w:rFonts w:ascii="Verdana" w:eastAsia="Times New Roman" w:hAnsi="Verdana" w:cs="Times New Roman"/>
          <w:color w:val="444444"/>
          <w:sz w:val="18"/>
          <w:szCs w:val="18"/>
          <w:lang w:val="en" w:eastAsia="lv-LV"/>
        </w:rPr>
      </w:pPr>
      <w:r w:rsidRPr="00405C96">
        <w:rPr>
          <w:rFonts w:ascii="Verdana" w:eastAsia="Times New Roman" w:hAnsi="Verdana" w:cs="Times New Roman"/>
          <w:color w:val="444444"/>
          <w:sz w:val="18"/>
          <w:szCs w:val="18"/>
          <w:lang w:val="en" w:eastAsia="lv-LV"/>
        </w:rPr>
        <w:t>Effectively, large parts of the NPM reforms have remained in place. The practice of hiring chief executives on five-year fixed-term contracts (with no expectation of automatic renewal) continues, and they continue to be accountable for the performance of their agencies. The chief executive is still the employer of all other staff, as enshrined in the State Sector Act; and there is still an ‘open border’ between the public service and the rest of the labour market for recruitment purposes.</w:t>
      </w:r>
    </w:p>
    <w:p w14:paraId="7A3BA243" w14:textId="77777777" w:rsidR="00405C96" w:rsidRPr="00405C96" w:rsidRDefault="00405C96" w:rsidP="00405C96">
      <w:pPr>
        <w:shd w:val="clear" w:color="auto" w:fill="FFFFFF"/>
        <w:spacing w:before="100" w:beforeAutospacing="1" w:after="100" w:afterAutospacing="1" w:line="360" w:lineRule="atLeast"/>
        <w:textAlignment w:val="top"/>
        <w:rPr>
          <w:rFonts w:ascii="Verdana" w:eastAsia="Times New Roman" w:hAnsi="Verdana" w:cs="Times New Roman"/>
          <w:color w:val="444444"/>
          <w:sz w:val="18"/>
          <w:szCs w:val="18"/>
          <w:lang w:val="en" w:eastAsia="lv-LV"/>
        </w:rPr>
      </w:pPr>
      <w:r w:rsidRPr="00405C96">
        <w:rPr>
          <w:rFonts w:ascii="Verdana" w:eastAsia="Times New Roman" w:hAnsi="Verdana" w:cs="Times New Roman"/>
          <w:color w:val="444444"/>
          <w:sz w:val="18"/>
          <w:szCs w:val="18"/>
          <w:lang w:val="en" w:eastAsia="lv-LV"/>
        </w:rPr>
        <w:t>The principles of accrual accounting and fiscal responsibility, originally legislated for in the Fiscal Responsibility Act 1994, have now been enshrined in the Public Finance Act, the central legislation governing the financial operations of the state sector. Those commercial operations that the government has determined should remain in public ownership are still constituted under the State-Owned Enterprises Act 1986. The essential objective of that Act is still explicitly commercial, rather than social; while the cost of any social responsibilities imposed on SOEs are still to be reimbursed by government. Despite the re-nationalizations mentioned above, there was no suggestion that successful SOEs (such as New Zealand Post) should be folded back into the public-service model – but neither was any move made under Labour to sell their assets or to create a more competitive environment than already existed.</w:t>
      </w:r>
    </w:p>
    <w:p w14:paraId="5CCCE24B" w14:textId="77777777" w:rsidR="00405C96" w:rsidRPr="00405C96" w:rsidRDefault="00405C96" w:rsidP="00405C96">
      <w:pPr>
        <w:shd w:val="clear" w:color="auto" w:fill="FFFFFF"/>
        <w:spacing w:before="100" w:beforeAutospacing="1" w:after="100" w:afterAutospacing="1" w:line="360" w:lineRule="atLeast"/>
        <w:textAlignment w:val="top"/>
        <w:rPr>
          <w:rFonts w:ascii="Verdana" w:eastAsia="Times New Roman" w:hAnsi="Verdana" w:cs="Times New Roman"/>
          <w:color w:val="444444"/>
          <w:sz w:val="18"/>
          <w:szCs w:val="18"/>
          <w:lang w:val="en" w:eastAsia="lv-LV"/>
        </w:rPr>
      </w:pPr>
      <w:r w:rsidRPr="00405C96">
        <w:rPr>
          <w:rFonts w:ascii="Verdana" w:eastAsia="Times New Roman" w:hAnsi="Verdana" w:cs="Times New Roman"/>
          <w:b/>
          <w:bCs/>
          <w:color w:val="444444"/>
          <w:sz w:val="18"/>
          <w:szCs w:val="18"/>
          <w:lang w:val="en" w:eastAsia="lv-LV"/>
        </w:rPr>
        <w:t>Organizational Structures</w:t>
      </w:r>
      <w:r w:rsidRPr="00405C96">
        <w:rPr>
          <w:rFonts w:ascii="Verdana" w:eastAsia="Times New Roman" w:hAnsi="Verdana" w:cs="Times New Roman"/>
          <w:b/>
          <w:bCs/>
          <w:color w:val="444444"/>
          <w:sz w:val="18"/>
          <w:szCs w:val="18"/>
          <w:lang w:val="en" w:eastAsia="lv-LV"/>
        </w:rPr>
        <w:br/>
      </w:r>
      <w:r w:rsidRPr="00405C96">
        <w:rPr>
          <w:rFonts w:ascii="Verdana" w:eastAsia="Times New Roman" w:hAnsi="Verdana" w:cs="Times New Roman"/>
          <w:color w:val="444444"/>
          <w:sz w:val="18"/>
          <w:szCs w:val="18"/>
          <w:lang w:val="en" w:eastAsia="lv-LV"/>
        </w:rPr>
        <w:t>A reasonable criticism of New Zealand’s NPM reforms of the 1980s and early 1990s is that, in disaggregating large multi-purpose bureaucracies, the result was a large number of smaller, single-purpose agencies, each with its own overhead and transaction costs, and each creating more of the ‘gaps’ through which things might fall due to a lack of integration and coordination. In an apparent effort to address this, the Labour-led government was willing to break down some of the policy–operations and purchaser–provider splits, once considered to be essential principles of the re-organization of state agencies, and to shift the focus of public sector accounting more towards the desirable outcomes aimed for by multiple agencies, thus to be more in line with the broad aims or themes of the government of the day. This has helped to address a lack of co-ordination between agencies. But are there still too many agencies and departments? And has there been a consistent approach to organizational change and development?</w:t>
      </w:r>
    </w:p>
    <w:p w14:paraId="3B123E20" w14:textId="77777777" w:rsidR="00405C96" w:rsidRPr="00405C96" w:rsidRDefault="00405C96" w:rsidP="00405C96">
      <w:pPr>
        <w:shd w:val="clear" w:color="auto" w:fill="FFFFFF"/>
        <w:spacing w:before="100" w:beforeAutospacing="1" w:after="100" w:afterAutospacing="1" w:line="360" w:lineRule="atLeast"/>
        <w:textAlignment w:val="top"/>
        <w:rPr>
          <w:rFonts w:ascii="Verdana" w:eastAsia="Times New Roman" w:hAnsi="Verdana" w:cs="Times New Roman"/>
          <w:color w:val="444444"/>
          <w:sz w:val="18"/>
          <w:szCs w:val="18"/>
          <w:lang w:val="en" w:eastAsia="lv-LV"/>
        </w:rPr>
      </w:pPr>
      <w:r w:rsidRPr="00405C96">
        <w:rPr>
          <w:rFonts w:ascii="Verdana" w:eastAsia="Times New Roman" w:hAnsi="Verdana" w:cs="Times New Roman"/>
          <w:color w:val="444444"/>
          <w:sz w:val="18"/>
          <w:szCs w:val="18"/>
          <w:lang w:val="en" w:eastAsia="lv-LV"/>
        </w:rPr>
        <w:t>It is instructive to make some rough comparisons with similar jurisdictions. Hence, the table below compares the number of government departments in Wellington with those in Canberra, Dublin, London and Stockholm. Other jurisdictions could also be cited, but these four include the essential features of the Westminster model (UK and Australia), political values similar to those in Wellington, and, in the cases of Dublin and Stockholm, electoral systems with proportional representation.</w:t>
      </w:r>
    </w:p>
    <w:p w14:paraId="45E61429" w14:textId="77777777" w:rsidR="00405C96" w:rsidRPr="00405C96" w:rsidRDefault="00405C96" w:rsidP="00405C96">
      <w:pPr>
        <w:shd w:val="clear" w:color="auto" w:fill="FFFFFF"/>
        <w:spacing w:before="100" w:beforeAutospacing="1" w:after="100" w:afterAutospacing="1" w:line="360" w:lineRule="atLeast"/>
        <w:textAlignment w:val="top"/>
        <w:rPr>
          <w:rFonts w:ascii="Verdana" w:eastAsia="Times New Roman" w:hAnsi="Verdana" w:cs="Times New Roman"/>
          <w:color w:val="444444"/>
          <w:sz w:val="18"/>
          <w:szCs w:val="18"/>
          <w:lang w:val="en" w:eastAsia="lv-LV"/>
        </w:rPr>
      </w:pPr>
      <w:r w:rsidRPr="00405C96">
        <w:rPr>
          <w:rFonts w:ascii="Verdana" w:eastAsia="Times New Roman" w:hAnsi="Verdana" w:cs="Times New Roman"/>
          <w:color w:val="444444"/>
          <w:sz w:val="18"/>
          <w:szCs w:val="18"/>
          <w:lang w:val="en" w:eastAsia="lv-LV"/>
        </w:rPr>
        <w:t>Jurisdiction</w:t>
      </w:r>
      <w:r w:rsidRPr="00405C96">
        <w:rPr>
          <w:rFonts w:ascii="Verdana" w:eastAsia="Times New Roman" w:hAnsi="Verdana" w:cs="Times New Roman"/>
          <w:color w:val="444444"/>
          <w:sz w:val="18"/>
          <w:szCs w:val="18"/>
          <w:lang w:val="en" w:eastAsia="lv-LV"/>
        </w:rPr>
        <w:br/>
        <w:t># of Cabinet Ministers</w:t>
      </w:r>
      <w:r w:rsidRPr="00405C96">
        <w:rPr>
          <w:rFonts w:ascii="Verdana" w:eastAsia="Times New Roman" w:hAnsi="Verdana" w:cs="Times New Roman"/>
          <w:color w:val="444444"/>
          <w:sz w:val="18"/>
          <w:szCs w:val="18"/>
          <w:lang w:val="en" w:eastAsia="lv-LV"/>
        </w:rPr>
        <w:br/>
        <w:t># of Other Ministers</w:t>
      </w:r>
      <w:r w:rsidRPr="00405C96">
        <w:rPr>
          <w:rFonts w:ascii="Verdana" w:eastAsia="Times New Roman" w:hAnsi="Verdana" w:cs="Times New Roman"/>
          <w:color w:val="444444"/>
          <w:sz w:val="18"/>
          <w:szCs w:val="18"/>
          <w:lang w:val="en" w:eastAsia="lv-LV"/>
        </w:rPr>
        <w:br/>
        <w:t># of Departments</w:t>
      </w:r>
      <w:r w:rsidRPr="00405C96">
        <w:rPr>
          <w:rFonts w:ascii="Verdana" w:eastAsia="Times New Roman" w:hAnsi="Verdana" w:cs="Times New Roman"/>
          <w:color w:val="444444"/>
          <w:sz w:val="18"/>
          <w:szCs w:val="18"/>
          <w:lang w:val="en" w:eastAsia="lv-LV"/>
        </w:rPr>
        <w:br/>
        <w:t>UK</w:t>
      </w:r>
      <w:r w:rsidRPr="00405C96">
        <w:rPr>
          <w:rFonts w:ascii="Verdana" w:eastAsia="Times New Roman" w:hAnsi="Verdana" w:cs="Times New Roman"/>
          <w:color w:val="444444"/>
          <w:sz w:val="18"/>
          <w:szCs w:val="18"/>
          <w:lang w:val="en" w:eastAsia="lv-LV"/>
        </w:rPr>
        <w:br/>
        <w:t>23</w:t>
      </w:r>
      <w:r w:rsidRPr="00405C96">
        <w:rPr>
          <w:rFonts w:ascii="Verdana" w:eastAsia="Times New Roman" w:hAnsi="Verdana" w:cs="Times New Roman"/>
          <w:color w:val="444444"/>
          <w:sz w:val="18"/>
          <w:szCs w:val="18"/>
          <w:lang w:val="en" w:eastAsia="lv-LV"/>
        </w:rPr>
        <w:br/>
        <w:t>66</w:t>
      </w:r>
      <w:r w:rsidRPr="00405C96">
        <w:rPr>
          <w:rFonts w:ascii="Verdana" w:eastAsia="Times New Roman" w:hAnsi="Verdana" w:cs="Times New Roman"/>
          <w:color w:val="444444"/>
          <w:sz w:val="18"/>
          <w:szCs w:val="18"/>
          <w:lang w:val="en" w:eastAsia="lv-LV"/>
        </w:rPr>
        <w:br/>
        <w:t>24</w:t>
      </w:r>
      <w:r w:rsidRPr="00405C96">
        <w:rPr>
          <w:rFonts w:ascii="Verdana" w:eastAsia="Times New Roman" w:hAnsi="Verdana" w:cs="Times New Roman"/>
          <w:color w:val="444444"/>
          <w:sz w:val="18"/>
          <w:szCs w:val="18"/>
          <w:lang w:val="en" w:eastAsia="lv-LV"/>
        </w:rPr>
        <w:br/>
        <w:t>Australia</w:t>
      </w:r>
      <w:r w:rsidRPr="00405C96">
        <w:rPr>
          <w:rFonts w:ascii="Verdana" w:eastAsia="Times New Roman" w:hAnsi="Verdana" w:cs="Times New Roman"/>
          <w:color w:val="444444"/>
          <w:sz w:val="18"/>
          <w:szCs w:val="18"/>
          <w:lang w:val="en" w:eastAsia="lv-LV"/>
        </w:rPr>
        <w:br/>
        <w:t>20</w:t>
      </w:r>
      <w:r w:rsidRPr="00405C96">
        <w:rPr>
          <w:rFonts w:ascii="Verdana" w:eastAsia="Times New Roman" w:hAnsi="Verdana" w:cs="Times New Roman"/>
          <w:color w:val="444444"/>
          <w:sz w:val="18"/>
          <w:szCs w:val="18"/>
          <w:lang w:val="en" w:eastAsia="lv-LV"/>
        </w:rPr>
        <w:br/>
        <w:t>22</w:t>
      </w:r>
      <w:r w:rsidRPr="00405C96">
        <w:rPr>
          <w:rFonts w:ascii="Verdana" w:eastAsia="Times New Roman" w:hAnsi="Verdana" w:cs="Times New Roman"/>
          <w:color w:val="444444"/>
          <w:sz w:val="18"/>
          <w:szCs w:val="18"/>
          <w:lang w:val="en" w:eastAsia="lv-LV"/>
        </w:rPr>
        <w:br/>
        <w:t>19</w:t>
      </w:r>
      <w:r w:rsidRPr="00405C96">
        <w:rPr>
          <w:rFonts w:ascii="Verdana" w:eastAsia="Times New Roman" w:hAnsi="Verdana" w:cs="Times New Roman"/>
          <w:color w:val="444444"/>
          <w:sz w:val="18"/>
          <w:szCs w:val="18"/>
          <w:lang w:val="en" w:eastAsia="lv-LV"/>
        </w:rPr>
        <w:br/>
        <w:t>Ireland</w:t>
      </w:r>
      <w:r w:rsidRPr="00405C96">
        <w:rPr>
          <w:rFonts w:ascii="Verdana" w:eastAsia="Times New Roman" w:hAnsi="Verdana" w:cs="Times New Roman"/>
          <w:color w:val="444444"/>
          <w:sz w:val="18"/>
          <w:szCs w:val="18"/>
          <w:lang w:val="en" w:eastAsia="lv-LV"/>
        </w:rPr>
        <w:br/>
        <w:t>15</w:t>
      </w:r>
      <w:r w:rsidRPr="00405C96">
        <w:rPr>
          <w:rFonts w:ascii="Verdana" w:eastAsia="Times New Roman" w:hAnsi="Verdana" w:cs="Times New Roman"/>
          <w:color w:val="444444"/>
          <w:sz w:val="18"/>
          <w:szCs w:val="18"/>
          <w:lang w:val="en" w:eastAsia="lv-LV"/>
        </w:rPr>
        <w:br/>
        <w:t>20</w:t>
      </w:r>
      <w:r w:rsidRPr="00405C96">
        <w:rPr>
          <w:rFonts w:ascii="Verdana" w:eastAsia="Times New Roman" w:hAnsi="Verdana" w:cs="Times New Roman"/>
          <w:color w:val="444444"/>
          <w:sz w:val="18"/>
          <w:szCs w:val="18"/>
          <w:lang w:val="en" w:eastAsia="lv-LV"/>
        </w:rPr>
        <w:br/>
        <w:t>15</w:t>
      </w:r>
      <w:r w:rsidRPr="00405C96">
        <w:rPr>
          <w:rFonts w:ascii="Verdana" w:eastAsia="Times New Roman" w:hAnsi="Verdana" w:cs="Times New Roman"/>
          <w:color w:val="444444"/>
          <w:sz w:val="18"/>
          <w:szCs w:val="18"/>
          <w:lang w:val="en" w:eastAsia="lv-LV"/>
        </w:rPr>
        <w:br/>
        <w:t>Sweden</w:t>
      </w:r>
      <w:r w:rsidRPr="00405C96">
        <w:rPr>
          <w:rFonts w:ascii="Verdana" w:eastAsia="Times New Roman" w:hAnsi="Verdana" w:cs="Times New Roman"/>
          <w:color w:val="444444"/>
          <w:sz w:val="18"/>
          <w:szCs w:val="18"/>
          <w:lang w:val="en" w:eastAsia="lv-LV"/>
        </w:rPr>
        <w:br/>
        <w:t>22</w:t>
      </w:r>
      <w:r w:rsidRPr="00405C96">
        <w:rPr>
          <w:rFonts w:ascii="Verdana" w:eastAsia="Times New Roman" w:hAnsi="Verdana" w:cs="Times New Roman"/>
          <w:color w:val="444444"/>
          <w:sz w:val="18"/>
          <w:szCs w:val="18"/>
          <w:lang w:val="en" w:eastAsia="lv-LV"/>
        </w:rPr>
        <w:br/>
      </w:r>
      <w:proofErr w:type="gramStart"/>
      <w:r w:rsidRPr="00405C96">
        <w:rPr>
          <w:rFonts w:ascii="Verdana" w:eastAsia="Times New Roman" w:hAnsi="Verdana" w:cs="Times New Roman"/>
          <w:color w:val="444444"/>
          <w:sz w:val="18"/>
          <w:szCs w:val="18"/>
          <w:lang w:val="en" w:eastAsia="lv-LV"/>
        </w:rPr>
        <w:t>Nil(</w:t>
      </w:r>
      <w:proofErr w:type="gramEnd"/>
      <w:r w:rsidRPr="00405C96">
        <w:rPr>
          <w:rFonts w:ascii="Verdana" w:eastAsia="Times New Roman" w:hAnsi="Verdana" w:cs="Times New Roman"/>
          <w:color w:val="444444"/>
          <w:sz w:val="18"/>
          <w:szCs w:val="18"/>
          <w:lang w:val="en" w:eastAsia="lv-LV"/>
        </w:rPr>
        <w:t>but see note below)</w:t>
      </w:r>
      <w:r w:rsidRPr="00405C96">
        <w:rPr>
          <w:rFonts w:ascii="Verdana" w:eastAsia="Times New Roman" w:hAnsi="Verdana" w:cs="Times New Roman"/>
          <w:color w:val="444444"/>
          <w:sz w:val="18"/>
          <w:szCs w:val="18"/>
          <w:lang w:val="en" w:eastAsia="lv-LV"/>
        </w:rPr>
        <w:br/>
        <w:t>13</w:t>
      </w:r>
      <w:r w:rsidRPr="00405C96">
        <w:rPr>
          <w:rFonts w:ascii="Verdana" w:eastAsia="Times New Roman" w:hAnsi="Verdana" w:cs="Times New Roman"/>
          <w:color w:val="444444"/>
          <w:sz w:val="18"/>
          <w:szCs w:val="18"/>
          <w:lang w:val="en" w:eastAsia="lv-LV"/>
        </w:rPr>
        <w:br/>
        <w:t>NZ</w:t>
      </w:r>
      <w:r w:rsidRPr="00405C96">
        <w:rPr>
          <w:rFonts w:ascii="Verdana" w:eastAsia="Times New Roman" w:hAnsi="Verdana" w:cs="Times New Roman"/>
          <w:color w:val="444444"/>
          <w:sz w:val="18"/>
          <w:szCs w:val="18"/>
          <w:lang w:val="en" w:eastAsia="lv-LV"/>
        </w:rPr>
        <w:br/>
        <w:t>20</w:t>
      </w:r>
      <w:r w:rsidRPr="00405C96">
        <w:rPr>
          <w:rFonts w:ascii="Verdana" w:eastAsia="Times New Roman" w:hAnsi="Verdana" w:cs="Times New Roman"/>
          <w:color w:val="444444"/>
          <w:sz w:val="18"/>
          <w:szCs w:val="18"/>
          <w:lang w:val="en" w:eastAsia="lv-LV"/>
        </w:rPr>
        <w:br/>
        <w:t>8</w:t>
      </w:r>
      <w:r w:rsidRPr="00405C96">
        <w:rPr>
          <w:rFonts w:ascii="Verdana" w:eastAsia="Times New Roman" w:hAnsi="Verdana" w:cs="Times New Roman"/>
          <w:color w:val="444444"/>
          <w:sz w:val="18"/>
          <w:szCs w:val="18"/>
          <w:lang w:val="en" w:eastAsia="lv-LV"/>
        </w:rPr>
        <w:br/>
        <w:t>39</w:t>
      </w:r>
    </w:p>
    <w:p w14:paraId="26A04E20" w14:textId="77777777" w:rsidR="00405C96" w:rsidRPr="00405C96" w:rsidRDefault="00405C96" w:rsidP="00405C96">
      <w:pPr>
        <w:shd w:val="clear" w:color="auto" w:fill="FFFFFF"/>
        <w:spacing w:before="100" w:beforeAutospacing="1" w:after="100" w:afterAutospacing="1" w:line="360" w:lineRule="atLeast"/>
        <w:textAlignment w:val="top"/>
        <w:rPr>
          <w:rFonts w:ascii="Verdana" w:eastAsia="Times New Roman" w:hAnsi="Verdana" w:cs="Times New Roman"/>
          <w:color w:val="444444"/>
          <w:sz w:val="18"/>
          <w:szCs w:val="18"/>
          <w:lang w:val="en" w:eastAsia="lv-LV"/>
        </w:rPr>
      </w:pPr>
      <w:r w:rsidRPr="00405C96">
        <w:rPr>
          <w:rFonts w:ascii="Verdana" w:eastAsia="Times New Roman" w:hAnsi="Verdana" w:cs="Times New Roman"/>
          <w:color w:val="444444"/>
          <w:sz w:val="18"/>
          <w:szCs w:val="18"/>
          <w:lang w:val="en" w:eastAsia="lv-LV"/>
        </w:rPr>
        <w:t>(NB: Swedish ministries have two to four top officials who share management, and half of these may be political appointees who change with any change of Minister. Hence, they could be seen as the equivalent of ministers outside cabinet. Figures for Australia are for the Commonwealth Government. Sources used are the latest available figures on the relevant country’s central agency’s website.)</w:t>
      </w:r>
    </w:p>
    <w:p w14:paraId="6EE1E44F" w14:textId="77777777" w:rsidR="00405C96" w:rsidRPr="00405C96" w:rsidRDefault="00405C96" w:rsidP="00405C96">
      <w:pPr>
        <w:shd w:val="clear" w:color="auto" w:fill="FFFFFF"/>
        <w:spacing w:before="100" w:beforeAutospacing="1" w:after="100" w:afterAutospacing="1" w:line="360" w:lineRule="atLeast"/>
        <w:textAlignment w:val="top"/>
        <w:rPr>
          <w:rFonts w:ascii="Verdana" w:eastAsia="Times New Roman" w:hAnsi="Verdana" w:cs="Times New Roman"/>
          <w:color w:val="444444"/>
          <w:sz w:val="18"/>
          <w:szCs w:val="18"/>
          <w:lang w:val="en" w:eastAsia="lv-LV"/>
        </w:rPr>
      </w:pPr>
      <w:r w:rsidRPr="00405C96">
        <w:rPr>
          <w:rFonts w:ascii="Verdana" w:eastAsia="Times New Roman" w:hAnsi="Verdana" w:cs="Times New Roman"/>
          <w:color w:val="444444"/>
          <w:sz w:val="18"/>
          <w:szCs w:val="18"/>
          <w:lang w:val="en" w:eastAsia="lv-LV"/>
        </w:rPr>
        <w:t>Before drawing any conclusions from the above figures, we need to exercise some caution. Although there are some similarities between the different jurisdictions, there are also considerable differences. These differences include population, constitutional structure and the degree of centralization of services in central or federal government. Allowing for functions carried out by the New Zealand Government which are only carried out at the State level in Australia, the total number of government agencies (whether classified as departments, statutory agencies, statutory authorities or Crown entities) may be little different between the two jurisdictions.</w:t>
      </w:r>
    </w:p>
    <w:p w14:paraId="6B009DDD" w14:textId="77777777" w:rsidR="00405C96" w:rsidRPr="00405C96" w:rsidRDefault="00405C96" w:rsidP="00405C96">
      <w:pPr>
        <w:shd w:val="clear" w:color="auto" w:fill="FFFFFF"/>
        <w:spacing w:before="100" w:beforeAutospacing="1" w:after="100" w:afterAutospacing="1" w:line="360" w:lineRule="atLeast"/>
        <w:textAlignment w:val="top"/>
        <w:rPr>
          <w:rFonts w:ascii="Verdana" w:eastAsia="Times New Roman" w:hAnsi="Verdana" w:cs="Times New Roman"/>
          <w:color w:val="444444"/>
          <w:sz w:val="18"/>
          <w:szCs w:val="18"/>
          <w:lang w:val="en" w:eastAsia="lv-LV"/>
        </w:rPr>
      </w:pPr>
      <w:r w:rsidRPr="00405C96">
        <w:rPr>
          <w:rFonts w:ascii="Verdana" w:eastAsia="Times New Roman" w:hAnsi="Verdana" w:cs="Times New Roman"/>
          <w:color w:val="444444"/>
          <w:sz w:val="18"/>
          <w:szCs w:val="18"/>
          <w:lang w:val="en" w:eastAsia="lv-LV"/>
        </w:rPr>
        <w:t>Nonetheless, although New Zealand’s public services may be relatively centralized (that is, there is less devolution of social services, public health and education to local or regional levels), it is extraordinary that Wellington should have more than twice as many departments as some other capitals. This suggests that the arrangements in Wellington are, in some respects, quite different from the others, and that little has been done to take up the suggestion made by Schick (1996) that the government consider some adjustments to departmental structures, possibly including some consolidation. Having numerous small departments may generate diseconomies of scale.  In addition to accountability and reporting burdens, each department must allocate staff resources to internal management, such as running its own budget and dealing with personnel matters.  After these and other responsibilities – which may include monitoring Crown entities – have been spoken for, a small department may have meagre resources left over for policy advice. Perhaps this is the reason why some small departments appeared to Schick to be listless (Schick 1996:29). Schick also argued that small organizations provide up-and-coming leaders with fewer opportunities for advancement.</w:t>
      </w:r>
    </w:p>
    <w:p w14:paraId="11B5082C" w14:textId="77777777" w:rsidR="00405C96" w:rsidRPr="00405C96" w:rsidRDefault="00405C96" w:rsidP="00405C96">
      <w:pPr>
        <w:shd w:val="clear" w:color="auto" w:fill="FFFFFF"/>
        <w:spacing w:before="100" w:beforeAutospacing="1" w:after="100" w:afterAutospacing="1" w:line="360" w:lineRule="atLeast"/>
        <w:textAlignment w:val="top"/>
        <w:rPr>
          <w:rFonts w:ascii="Verdana" w:eastAsia="Times New Roman" w:hAnsi="Verdana" w:cs="Times New Roman"/>
          <w:color w:val="444444"/>
          <w:sz w:val="18"/>
          <w:szCs w:val="18"/>
          <w:lang w:val="en" w:eastAsia="lv-LV"/>
        </w:rPr>
      </w:pPr>
      <w:r w:rsidRPr="00405C96">
        <w:rPr>
          <w:rFonts w:ascii="Verdana" w:eastAsia="Times New Roman" w:hAnsi="Verdana" w:cs="Times New Roman"/>
          <w:color w:val="444444"/>
          <w:sz w:val="18"/>
          <w:szCs w:val="18"/>
          <w:lang w:val="en" w:eastAsia="lv-LV"/>
        </w:rPr>
        <w:t>Admittedly, some progress has been made towards consolidation since Schick’s report. (Examples have been cited above). But all of the countries referred to above in comparison with New Zealand have, to some extent, adopted a model of service-delivery agencies, with relative operational autonomy, incorporated under the structure of a department – for example, the executive agencies in the UK that are a product of the ‘Next Steps’ initiative. This approach has been adopted on some occasions in New Zealand, but with apparent reluctance and not always consistently. The term used in New Zealand for an operational agency within a department, but with some managerial freedom, is ‘semi-autonomous body’ (SAB). One example was the absorption of the Ministries of Consumer Affairs and Tourism into what is now the Ministry of Economic Development (MED).  While consumer affairs and tourism still have their identities inside the larger ministry – and they still have their corresponding ministerial portfolios at the Cabinet table – in managerial terms, they are simply divisions of a larger organization.</w:t>
      </w:r>
    </w:p>
    <w:p w14:paraId="69072E37" w14:textId="77777777" w:rsidR="00405C96" w:rsidRPr="00405C96" w:rsidRDefault="00405C96" w:rsidP="00405C96">
      <w:pPr>
        <w:shd w:val="clear" w:color="auto" w:fill="FFFFFF"/>
        <w:spacing w:before="100" w:beforeAutospacing="1" w:after="100" w:afterAutospacing="1" w:line="360" w:lineRule="atLeast"/>
        <w:textAlignment w:val="top"/>
        <w:rPr>
          <w:rFonts w:ascii="Verdana" w:eastAsia="Times New Roman" w:hAnsi="Verdana" w:cs="Times New Roman"/>
          <w:color w:val="444444"/>
          <w:sz w:val="18"/>
          <w:szCs w:val="18"/>
          <w:lang w:val="en" w:eastAsia="lv-LV"/>
        </w:rPr>
      </w:pPr>
      <w:r w:rsidRPr="00405C96">
        <w:rPr>
          <w:rFonts w:ascii="Verdana" w:eastAsia="Times New Roman" w:hAnsi="Verdana" w:cs="Times New Roman"/>
          <w:color w:val="444444"/>
          <w:sz w:val="18"/>
          <w:szCs w:val="18"/>
          <w:lang w:val="en" w:eastAsia="lv-LV"/>
        </w:rPr>
        <w:t>Another significant application of the SAB model is in the overseas development assistance programme, for which the organization NZAID has been created, under the aegis of the Ministry of Foreign Affairs and Trade (MFAT). A ministerial review of the establishment of NZAID had the following to say:</w:t>
      </w:r>
    </w:p>
    <w:p w14:paraId="5384D097" w14:textId="77777777" w:rsidR="00405C96" w:rsidRPr="00405C96" w:rsidRDefault="00405C96" w:rsidP="00405C96">
      <w:pPr>
        <w:shd w:val="clear" w:color="auto" w:fill="FFFFFF"/>
        <w:spacing w:before="100" w:beforeAutospacing="1" w:after="100" w:afterAutospacing="1" w:line="360" w:lineRule="atLeast"/>
        <w:textAlignment w:val="top"/>
        <w:rPr>
          <w:rFonts w:ascii="Verdana" w:eastAsia="Times New Roman" w:hAnsi="Verdana" w:cs="Times New Roman"/>
          <w:color w:val="444444"/>
          <w:sz w:val="18"/>
          <w:szCs w:val="18"/>
          <w:lang w:val="en" w:eastAsia="lv-LV"/>
        </w:rPr>
      </w:pPr>
      <w:r w:rsidRPr="00405C96">
        <w:rPr>
          <w:rFonts w:ascii="Verdana" w:eastAsia="Times New Roman" w:hAnsi="Verdana" w:cs="Times New Roman"/>
          <w:color w:val="444444"/>
          <w:sz w:val="18"/>
          <w:szCs w:val="18"/>
          <w:lang w:val="en" w:eastAsia="lv-LV"/>
        </w:rPr>
        <w:t>The SAB model is basically a New Zealand model of the UK Next Steps Executive Agency model and similar models used to varying degrees in Canada and Australia. The model assumes that discrete businesses of a particular portfolio will be siphoned off to an agency operating relatively autonomously but still within the overall framework of the Department to which it is attached. The SAB is different from either a Crown entity (where the governing body is directly responsible to the Minister and the department merely acts as an adviser to the Minister in the [Minister’s] roles of funder, owner and purchaser of outputs) and the normal operating division of a Department where staff are employed under the same terms and conditions of employment and…may move freely within the divisions of the Department. The SAB is envisaged as an autonomous agency that, while still under the umbrella of its parent Department develops a separate organisation, staffing, funding, policy development and operational structure (Waring 2005:45).</w:t>
      </w:r>
    </w:p>
    <w:p w14:paraId="29431E2D" w14:textId="77777777" w:rsidR="00405C96" w:rsidRPr="00405C96" w:rsidRDefault="00405C96" w:rsidP="00405C96">
      <w:pPr>
        <w:shd w:val="clear" w:color="auto" w:fill="FFFFFF"/>
        <w:spacing w:before="100" w:beforeAutospacing="1" w:after="100" w:afterAutospacing="1" w:line="360" w:lineRule="atLeast"/>
        <w:textAlignment w:val="top"/>
        <w:rPr>
          <w:rFonts w:ascii="Verdana" w:eastAsia="Times New Roman" w:hAnsi="Verdana" w:cs="Times New Roman"/>
          <w:color w:val="444444"/>
          <w:sz w:val="18"/>
          <w:szCs w:val="18"/>
          <w:lang w:val="en" w:eastAsia="lv-LV"/>
        </w:rPr>
      </w:pPr>
      <w:r w:rsidRPr="00405C96">
        <w:rPr>
          <w:rFonts w:ascii="Verdana" w:eastAsia="Times New Roman" w:hAnsi="Verdana" w:cs="Times New Roman"/>
          <w:color w:val="444444"/>
          <w:sz w:val="18"/>
          <w:szCs w:val="18"/>
          <w:lang w:val="en" w:eastAsia="lv-LV"/>
        </w:rPr>
        <w:t>There has not been a consistent approach to the use of this model across the public service, however. In 2001, the SSC made a strong case in favour of an SAB for NZAID, and in 2002 a similar stance was taken for the case of the food safety authority (NZFSA). However, in 2006, apparently due to political pressures, the SSC came to the conclusion that an SAB would not be satisfactory in this latter situation, and hence NZFSA was taken out of the Ministry of Agriculture and Fisheries (MAF) and established as a separate department. Even so, some elements of an SAB have been preserved, as there has been a shared services agreement made between the two organizations, and MAF provides some of NZFSA’s corporate services.</w:t>
      </w:r>
    </w:p>
    <w:p w14:paraId="0EE97EB7" w14:textId="77777777" w:rsidR="00405C96" w:rsidRPr="00405C96" w:rsidRDefault="00405C96" w:rsidP="00405C96">
      <w:pPr>
        <w:shd w:val="clear" w:color="auto" w:fill="FFFFFF"/>
        <w:spacing w:before="100" w:beforeAutospacing="1" w:after="100" w:afterAutospacing="1" w:line="360" w:lineRule="atLeast"/>
        <w:textAlignment w:val="top"/>
        <w:rPr>
          <w:rFonts w:ascii="Verdana" w:eastAsia="Times New Roman" w:hAnsi="Verdana" w:cs="Times New Roman"/>
          <w:color w:val="444444"/>
          <w:sz w:val="18"/>
          <w:szCs w:val="18"/>
          <w:lang w:val="en" w:eastAsia="lv-LV"/>
        </w:rPr>
      </w:pPr>
      <w:r w:rsidRPr="00405C96">
        <w:rPr>
          <w:rFonts w:ascii="Verdana" w:eastAsia="Times New Roman" w:hAnsi="Verdana" w:cs="Times New Roman"/>
          <w:color w:val="444444"/>
          <w:sz w:val="18"/>
          <w:szCs w:val="18"/>
          <w:lang w:val="en" w:eastAsia="lv-LV"/>
        </w:rPr>
        <w:t>Such ad-hoc planning was perhaps a natural feature of Labour’s desire to avoid wholesale restructuring, in favour of a more gradual and pragmatic approach that only adopted changes as circumstances and needs dictated. As Gill (2008 a, b) has argued, New Zealand has always had a large number of departments and non-departmental agencies (Crown entities), even before the NPM era. He points to evidence that there are significant costs associated with restructuring, and hence is sceptical about the assumption that amalgamations of departments would lead to greater efficiency or effectiveness. He further states: ‘All Governments have significant arms-length entities which need an integrated governance regime’ (Gill 2008b:10), and hence an apparently large number of agencies is not necessarily a cause for alarm. Arrangements such as NZFSA (see above) where a separate department (rather than an SAB) has been established, but with a shared services agreement, may help to reduce some of the duplication of overheads and ‘diseconomies of scale’, without entailing the major restructuring costs of amalgamation, which Gill (2008 a, b) sees as undesirable and unproductive.</w:t>
      </w:r>
    </w:p>
    <w:p w14:paraId="2EAEE835" w14:textId="77777777" w:rsidR="00405C96" w:rsidRPr="00405C96" w:rsidRDefault="00405C96" w:rsidP="00405C96">
      <w:pPr>
        <w:shd w:val="clear" w:color="auto" w:fill="FFFFFF"/>
        <w:spacing w:before="100" w:beforeAutospacing="1" w:after="100" w:afterAutospacing="1" w:line="360" w:lineRule="atLeast"/>
        <w:textAlignment w:val="top"/>
        <w:rPr>
          <w:rFonts w:ascii="Verdana" w:eastAsia="Times New Roman" w:hAnsi="Verdana" w:cs="Times New Roman"/>
          <w:color w:val="444444"/>
          <w:sz w:val="18"/>
          <w:szCs w:val="18"/>
          <w:lang w:val="en" w:eastAsia="lv-LV"/>
        </w:rPr>
      </w:pPr>
      <w:r w:rsidRPr="00405C96">
        <w:rPr>
          <w:rFonts w:ascii="Verdana" w:eastAsia="Times New Roman" w:hAnsi="Verdana" w:cs="Times New Roman"/>
          <w:color w:val="444444"/>
          <w:sz w:val="18"/>
          <w:szCs w:val="18"/>
          <w:lang w:val="en" w:eastAsia="lv-LV"/>
        </w:rPr>
        <w:t>Other steps have been taken to co-ordinate policy advice, policy implementation and service delivery within sectors. In addition to the normal Cabinet Committee process, in 2008 the allocation of funding to Ministers for the purchase of outputs from departments and other agencies was done on a sector (or ‘theme’) basis. A funding pool was allocated to each sector, with the responsible Ministers meeting together to divide this funding between them. Each theme had an appointed lead Minister (Treasury 2007). At the officials’ level, various co-ordination processes were put in place. For example, in the social sector, there are 38 agencies (10 departments and 28 Crown entities) that either provide advice to Ministers, implement government policy and/or deliver services. The sector is organised into 4 sub-sectors (Health, Education, Social Services and Justice), with each sub-sector having a lead Ministry. Overall co-ordination of the sector is achieved by regular meetings of the lead Ministries, chaired by the chief executive of the Ministry of Social Development. These meetings, called the Social Sector Forum, focus on ensuring that cross-sectoral action is occurring where it is needed, and also that the delivery of social services by community, voluntary and private organisations is co-ordinated with government agency initiatives (Ministry of Social Development 2008). The SSC (2008b) also issued advice to state agencies about effective coordination.</w:t>
      </w:r>
    </w:p>
    <w:p w14:paraId="070EF5CD" w14:textId="77777777" w:rsidR="00405C96" w:rsidRPr="00405C96" w:rsidRDefault="00405C96" w:rsidP="00405C96">
      <w:pPr>
        <w:shd w:val="clear" w:color="auto" w:fill="FFFFFF"/>
        <w:spacing w:before="100" w:beforeAutospacing="1" w:after="100" w:afterAutospacing="1" w:line="360" w:lineRule="atLeast"/>
        <w:textAlignment w:val="top"/>
        <w:rPr>
          <w:rFonts w:ascii="Verdana" w:eastAsia="Times New Roman" w:hAnsi="Verdana" w:cs="Times New Roman"/>
          <w:color w:val="444444"/>
          <w:sz w:val="18"/>
          <w:szCs w:val="18"/>
          <w:lang w:val="en" w:eastAsia="lv-LV"/>
        </w:rPr>
      </w:pPr>
      <w:r w:rsidRPr="00405C96">
        <w:rPr>
          <w:rFonts w:ascii="Verdana" w:eastAsia="Times New Roman" w:hAnsi="Verdana" w:cs="Times New Roman"/>
          <w:color w:val="444444"/>
          <w:sz w:val="18"/>
          <w:szCs w:val="18"/>
          <w:lang w:val="en" w:eastAsia="lv-LV"/>
        </w:rPr>
        <w:t>While these processes address some of the co-ordination issues raised by Schick (1996), they do not deal with the high ratio of overheads to total operating costs which he also commented on. Perhaps such co-ordination plus shared service arrangements (as described above) may deal with these issues more successfully and less disruptively than amalgamations. Either way, there may yet be further scope to reduce duplication in ‘back-office’ operations. The signals conveyed to departmental chief executives by the new Prime Minister (see below) may well prompt further innovative thinking in this area. But the extent to which economies of scale – let alone improvements in ‘front-line’ service quality – can actually be achieved by changes to the sizes or numbers of departments is a moot point. Almagamations may still leave the larger departments with inter-divisional coordination problems, and so the question of effective coordination and networking may be more critical than the size and number of organizations.</w:t>
      </w:r>
    </w:p>
    <w:p w14:paraId="63F863F5" w14:textId="77777777" w:rsidR="00405C96" w:rsidRPr="00405C96" w:rsidRDefault="00405C96" w:rsidP="00405C96">
      <w:pPr>
        <w:shd w:val="clear" w:color="auto" w:fill="FFFFFF"/>
        <w:spacing w:before="100" w:beforeAutospacing="1" w:after="100" w:afterAutospacing="1" w:line="360" w:lineRule="atLeast"/>
        <w:textAlignment w:val="top"/>
        <w:rPr>
          <w:rFonts w:ascii="Verdana" w:eastAsia="Times New Roman" w:hAnsi="Verdana" w:cs="Times New Roman"/>
          <w:color w:val="444444"/>
          <w:sz w:val="18"/>
          <w:szCs w:val="18"/>
          <w:lang w:val="en" w:eastAsia="lv-LV"/>
        </w:rPr>
      </w:pPr>
      <w:r w:rsidRPr="00405C96">
        <w:rPr>
          <w:rFonts w:ascii="Verdana" w:eastAsia="Times New Roman" w:hAnsi="Verdana" w:cs="Times New Roman"/>
          <w:b/>
          <w:bCs/>
          <w:color w:val="444444"/>
          <w:sz w:val="18"/>
          <w:szCs w:val="18"/>
          <w:lang w:val="en" w:eastAsia="lv-LV"/>
        </w:rPr>
        <w:t>The Labour Legacy</w:t>
      </w:r>
      <w:r w:rsidRPr="00405C96">
        <w:rPr>
          <w:rFonts w:ascii="Verdana" w:eastAsia="Times New Roman" w:hAnsi="Verdana" w:cs="Times New Roman"/>
          <w:color w:val="444444"/>
          <w:sz w:val="18"/>
          <w:szCs w:val="18"/>
          <w:lang w:val="en" w:eastAsia="lv-LV"/>
        </w:rPr>
        <w:br/>
        <w:t>The incoming centre-right National-led government thus inherited, at the end of 2008, a public service that had undergone considerable NPM reforms during the 1980s and 1990s, and which had, in the first years of the new century, refined and modified those reforms to an extent that saw a ‘pendulum-swing’ back to a middle ground, compared to the radical market-driven ethos of the late 1980s. The ‘high tide’ of the radical ‘New Zealand model’ came around 1996 when the Schick Report appeared and the country switched to elections by proportional representation. Since then, rapid reform without wider consultation has been politically impossible, and some obvious problems with the model have been identified and addressed. Since 1996, no new ‘blueprint’ for public management reforms, along the lines of the Treasury’s 1987 paper on government management, has been produced. Hence, there is no longer any specific document that one can cite to show what ‘the revised New Zealand model’ might actually be – that is, if there is one now. Indeed, some of the structural arrangements that now exist in Wellington appear to be inconsistent and ad-hoc, and they lack an overarching set of guiding principles. But one can at least trace some significant and deliberate changes that have occurred, which all together do amount to a significant evolution away from the now-classic ‘New Zealand model’ that has been frequently referred to in the international public-management literature.</w:t>
      </w:r>
    </w:p>
    <w:p w14:paraId="4B1F8778" w14:textId="77777777" w:rsidR="00405C96" w:rsidRPr="00405C96" w:rsidRDefault="00405C96" w:rsidP="00405C96">
      <w:pPr>
        <w:shd w:val="clear" w:color="auto" w:fill="FFFFFF"/>
        <w:spacing w:before="100" w:beforeAutospacing="1" w:after="100" w:afterAutospacing="1" w:line="360" w:lineRule="atLeast"/>
        <w:textAlignment w:val="top"/>
        <w:rPr>
          <w:rFonts w:ascii="Verdana" w:eastAsia="Times New Roman" w:hAnsi="Verdana" w:cs="Times New Roman"/>
          <w:color w:val="444444"/>
          <w:sz w:val="18"/>
          <w:szCs w:val="18"/>
          <w:lang w:val="en" w:eastAsia="lv-LV"/>
        </w:rPr>
      </w:pPr>
      <w:r w:rsidRPr="00405C96">
        <w:rPr>
          <w:rFonts w:ascii="Verdana" w:eastAsia="Times New Roman" w:hAnsi="Verdana" w:cs="Times New Roman"/>
          <w:color w:val="444444"/>
          <w:sz w:val="18"/>
          <w:szCs w:val="18"/>
          <w:lang w:val="en" w:eastAsia="lv-LV"/>
        </w:rPr>
        <w:t>The developments under Labour since 1999 have seen a much more co-ordinated, outcome-oriented approach, and a return to the collective ethics of public service. Ideas derived from rational economic theories no longer predominate, and the competitive quasi-market model is no longer applied. Moreover, privatization was not at all favoured by the Clark government. This represents a considerable shift away from the orthodoxy of the oft-cited ‘New Zealand model’.</w:t>
      </w:r>
    </w:p>
    <w:p w14:paraId="139CDBCA" w14:textId="77777777" w:rsidR="00405C96" w:rsidRPr="00405C96" w:rsidRDefault="00405C96" w:rsidP="00405C96">
      <w:pPr>
        <w:shd w:val="clear" w:color="auto" w:fill="FFFFFF"/>
        <w:spacing w:before="100" w:beforeAutospacing="1" w:after="100" w:afterAutospacing="1" w:line="360" w:lineRule="atLeast"/>
        <w:textAlignment w:val="top"/>
        <w:rPr>
          <w:rFonts w:ascii="Verdana" w:eastAsia="Times New Roman" w:hAnsi="Verdana" w:cs="Times New Roman"/>
          <w:color w:val="444444"/>
          <w:sz w:val="18"/>
          <w:szCs w:val="18"/>
          <w:lang w:val="en" w:eastAsia="lv-LV"/>
        </w:rPr>
      </w:pPr>
      <w:r w:rsidRPr="00405C96">
        <w:rPr>
          <w:rFonts w:ascii="Verdana" w:eastAsia="Times New Roman" w:hAnsi="Verdana" w:cs="Times New Roman"/>
          <w:b/>
          <w:bCs/>
          <w:color w:val="444444"/>
          <w:sz w:val="18"/>
          <w:szCs w:val="18"/>
          <w:lang w:val="en" w:eastAsia="lv-LV"/>
        </w:rPr>
        <w:t>The National-led Government’s Agenda</w:t>
      </w:r>
      <w:r w:rsidRPr="00405C96">
        <w:rPr>
          <w:rFonts w:ascii="Verdana" w:eastAsia="Times New Roman" w:hAnsi="Verdana" w:cs="Times New Roman"/>
          <w:b/>
          <w:bCs/>
          <w:color w:val="444444"/>
          <w:sz w:val="18"/>
          <w:szCs w:val="18"/>
          <w:lang w:val="en" w:eastAsia="lv-LV"/>
        </w:rPr>
        <w:br/>
      </w:r>
      <w:r w:rsidRPr="00405C96">
        <w:rPr>
          <w:rFonts w:ascii="Verdana" w:eastAsia="Times New Roman" w:hAnsi="Verdana" w:cs="Times New Roman"/>
          <w:color w:val="444444"/>
          <w:sz w:val="18"/>
          <w:szCs w:val="18"/>
          <w:lang w:val="en" w:eastAsia="lv-LV"/>
        </w:rPr>
        <w:t>While in opposition, the National Party argued that the Labour-led government had been too ‘tax-hungry’ and that the spending of that government had often been of ‘low quality’ due to ‘an overly-large and poorly-focused bureaucracy’ (Key 2008a:1). National’s strategy, according to its leader, John Key, was to provide for tax-cuts, while not reducing front-line service capacity in education, health-care, etc., partly by achieving cost savings in the core policy-advice ‘bureaucracy’. It was suggested that, while numbers of ‘front-line’ workers in health, education and social services had increased under Labour, the rate of increase of employee numbers in the respective ‘bureaucracies’ had been much greater. The National Party’s 2008 Election manifesto on the state sector made the following claim:</w:t>
      </w:r>
    </w:p>
    <w:p w14:paraId="03A89C05" w14:textId="77777777" w:rsidR="00405C96" w:rsidRPr="00405C96" w:rsidRDefault="00405C96" w:rsidP="00405C96">
      <w:pPr>
        <w:shd w:val="clear" w:color="auto" w:fill="FFFFFF"/>
        <w:spacing w:before="100" w:beforeAutospacing="1" w:after="100" w:afterAutospacing="1" w:line="360" w:lineRule="atLeast"/>
        <w:textAlignment w:val="top"/>
        <w:rPr>
          <w:rFonts w:ascii="Verdana" w:eastAsia="Times New Roman" w:hAnsi="Verdana" w:cs="Times New Roman"/>
          <w:color w:val="444444"/>
          <w:sz w:val="18"/>
          <w:szCs w:val="18"/>
          <w:lang w:val="en" w:eastAsia="lv-LV"/>
        </w:rPr>
      </w:pPr>
      <w:r w:rsidRPr="00405C96">
        <w:rPr>
          <w:rFonts w:ascii="Verdana" w:eastAsia="Times New Roman" w:hAnsi="Verdana" w:cs="Times New Roman"/>
          <w:color w:val="444444"/>
          <w:sz w:val="18"/>
          <w:szCs w:val="18"/>
          <w:lang w:val="en" w:eastAsia="lv-LV"/>
        </w:rPr>
        <w:t>Survey data from the Quarterly Employment Survey shows that since 2000 the number of people who are employed in central government administration has grown from 25,900 to 39,400. These are people who are mainly engaged in formulating and administering government policies rather than frontline service delivery (New Zealand National Party 2008:2).</w:t>
      </w:r>
    </w:p>
    <w:p w14:paraId="767611CD" w14:textId="77777777" w:rsidR="00405C96" w:rsidRPr="00405C96" w:rsidRDefault="00405C96" w:rsidP="00405C96">
      <w:pPr>
        <w:shd w:val="clear" w:color="auto" w:fill="FFFFFF"/>
        <w:spacing w:before="100" w:beforeAutospacing="1" w:after="100" w:afterAutospacing="1" w:line="360" w:lineRule="atLeast"/>
        <w:textAlignment w:val="top"/>
        <w:rPr>
          <w:rFonts w:ascii="Verdana" w:eastAsia="Times New Roman" w:hAnsi="Verdana" w:cs="Times New Roman"/>
          <w:color w:val="444444"/>
          <w:sz w:val="18"/>
          <w:szCs w:val="18"/>
          <w:lang w:val="en" w:eastAsia="lv-LV"/>
        </w:rPr>
      </w:pPr>
      <w:r w:rsidRPr="00405C96">
        <w:rPr>
          <w:rFonts w:ascii="Verdana" w:eastAsia="Times New Roman" w:hAnsi="Verdana" w:cs="Times New Roman"/>
          <w:color w:val="444444"/>
          <w:sz w:val="18"/>
          <w:szCs w:val="18"/>
          <w:lang w:val="en" w:eastAsia="lv-LV"/>
        </w:rPr>
        <w:t>Naturally, such claims were disputed, with the Public Service Association (PSA), the major public-sector trade union, counter-arguing that such figures included classes of public-sector workers who were, in fact, performing essential ‘front-line’ services, such as prison officers employed in new facilities and inland-revenue call-centre operators employed to advise people about the new retirement savings scheme. The PSA thus raised the spectre of a ‘razor-gang’ that would cut government spending, but do so in a way that could harm essential public services (Pilott 2008).</w:t>
      </w:r>
    </w:p>
    <w:p w14:paraId="2A95E933" w14:textId="77777777" w:rsidR="00405C96" w:rsidRPr="00405C96" w:rsidRDefault="00405C96" w:rsidP="00405C96">
      <w:pPr>
        <w:shd w:val="clear" w:color="auto" w:fill="FFFFFF"/>
        <w:spacing w:before="100" w:beforeAutospacing="1" w:after="100" w:afterAutospacing="1" w:line="360" w:lineRule="atLeast"/>
        <w:textAlignment w:val="top"/>
        <w:rPr>
          <w:rFonts w:ascii="Verdana" w:eastAsia="Times New Roman" w:hAnsi="Verdana" w:cs="Times New Roman"/>
          <w:color w:val="444444"/>
          <w:sz w:val="18"/>
          <w:szCs w:val="18"/>
          <w:lang w:val="en" w:eastAsia="lv-LV"/>
        </w:rPr>
      </w:pPr>
      <w:r w:rsidRPr="00405C96">
        <w:rPr>
          <w:rFonts w:ascii="Verdana" w:eastAsia="Times New Roman" w:hAnsi="Verdana" w:cs="Times New Roman"/>
          <w:color w:val="444444"/>
          <w:sz w:val="18"/>
          <w:szCs w:val="18"/>
          <w:lang w:val="en" w:eastAsia="lv-LV"/>
        </w:rPr>
        <w:t>However, Mr Key also said, in a later speech to the PSA, that his party had no intention of undertaking any radical structural reforms (apparently alluding to the rapid NPM reforms of the late 1980s and early 1990s), nor did they intend to depart from the pragmatic approach taken under Labour:</w:t>
      </w:r>
    </w:p>
    <w:p w14:paraId="54200997" w14:textId="77777777" w:rsidR="00405C96" w:rsidRPr="00405C96" w:rsidRDefault="00405C96" w:rsidP="00405C96">
      <w:pPr>
        <w:shd w:val="clear" w:color="auto" w:fill="FFFFFF"/>
        <w:spacing w:before="100" w:beforeAutospacing="1" w:after="100" w:afterAutospacing="1" w:line="360" w:lineRule="atLeast"/>
        <w:textAlignment w:val="top"/>
        <w:rPr>
          <w:rFonts w:ascii="Verdana" w:eastAsia="Times New Roman" w:hAnsi="Verdana" w:cs="Times New Roman"/>
          <w:color w:val="444444"/>
          <w:sz w:val="18"/>
          <w:szCs w:val="18"/>
          <w:lang w:val="en" w:eastAsia="lv-LV"/>
        </w:rPr>
      </w:pPr>
      <w:r w:rsidRPr="00405C96">
        <w:rPr>
          <w:rFonts w:ascii="Verdana" w:eastAsia="Times New Roman" w:hAnsi="Verdana" w:cs="Times New Roman"/>
          <w:color w:val="444444"/>
          <w:sz w:val="18"/>
          <w:szCs w:val="18"/>
          <w:lang w:val="en" w:eastAsia="lv-LV"/>
        </w:rPr>
        <w:t>Just as Labour has done, we will take opportunities to make changes to some agencies as part of the usual business of government. However, there will be no wholesale reorganisation or restructuring across the public sector.</w:t>
      </w:r>
    </w:p>
    <w:p w14:paraId="6C1CCB4E" w14:textId="77777777" w:rsidR="00405C96" w:rsidRPr="00405C96" w:rsidRDefault="00405C96" w:rsidP="00405C96">
      <w:pPr>
        <w:shd w:val="clear" w:color="auto" w:fill="FFFFFF"/>
        <w:spacing w:before="100" w:beforeAutospacing="1" w:after="100" w:afterAutospacing="1" w:line="360" w:lineRule="atLeast"/>
        <w:textAlignment w:val="top"/>
        <w:rPr>
          <w:rFonts w:ascii="Verdana" w:eastAsia="Times New Roman" w:hAnsi="Verdana" w:cs="Times New Roman"/>
          <w:color w:val="444444"/>
          <w:sz w:val="18"/>
          <w:szCs w:val="18"/>
          <w:lang w:val="en" w:eastAsia="lv-LV"/>
        </w:rPr>
      </w:pPr>
      <w:r w:rsidRPr="00405C96">
        <w:rPr>
          <w:rFonts w:ascii="Verdana" w:eastAsia="Times New Roman" w:hAnsi="Verdana" w:cs="Times New Roman"/>
          <w:color w:val="444444"/>
          <w:sz w:val="18"/>
          <w:szCs w:val="18"/>
          <w:lang w:val="en" w:eastAsia="lv-LV"/>
        </w:rPr>
        <w:t>Neither are we interested in winding the public management clock back. New Zealand’s public management model has evolved to where it is now, and though some improvements are no doubt possible, I do not believe there is any need for extensive reforms (Key 2008b).</w:t>
      </w:r>
    </w:p>
    <w:p w14:paraId="27B06D4B" w14:textId="77777777" w:rsidR="00405C96" w:rsidRPr="00405C96" w:rsidRDefault="00405C96" w:rsidP="00405C96">
      <w:pPr>
        <w:shd w:val="clear" w:color="auto" w:fill="FFFFFF"/>
        <w:spacing w:before="100" w:beforeAutospacing="1" w:after="100" w:afterAutospacing="1" w:line="360" w:lineRule="atLeast"/>
        <w:textAlignment w:val="top"/>
        <w:rPr>
          <w:rFonts w:ascii="Verdana" w:eastAsia="Times New Roman" w:hAnsi="Verdana" w:cs="Times New Roman"/>
          <w:color w:val="444444"/>
          <w:sz w:val="18"/>
          <w:szCs w:val="18"/>
          <w:lang w:val="en" w:eastAsia="lv-LV"/>
        </w:rPr>
      </w:pPr>
      <w:r w:rsidRPr="00405C96">
        <w:rPr>
          <w:rFonts w:ascii="Verdana" w:eastAsia="Times New Roman" w:hAnsi="Verdana" w:cs="Times New Roman"/>
          <w:color w:val="444444"/>
          <w:sz w:val="18"/>
          <w:szCs w:val="18"/>
          <w:lang w:val="en" w:eastAsia="lv-LV"/>
        </w:rPr>
        <w:t>So, the National Party’s election policy was to cap public service employee numbers, not to cut or to radically restructure. Further, they sought to undertake a close ‘line by line’ scrutiny of public-sector budgets in order to make savings in central administrative or advisory roles, and to shift resources to ‘front-line’ services. This was intended to contribute to expenditure control without the need to sacrifice public services.</w:t>
      </w:r>
    </w:p>
    <w:p w14:paraId="365D96C3" w14:textId="77777777" w:rsidR="00405C96" w:rsidRPr="00405C96" w:rsidRDefault="00405C96" w:rsidP="00405C96">
      <w:pPr>
        <w:shd w:val="clear" w:color="auto" w:fill="FFFFFF"/>
        <w:spacing w:before="100" w:beforeAutospacing="1" w:after="100" w:afterAutospacing="1" w:line="360" w:lineRule="atLeast"/>
        <w:textAlignment w:val="top"/>
        <w:rPr>
          <w:rFonts w:ascii="Verdana" w:eastAsia="Times New Roman" w:hAnsi="Verdana" w:cs="Times New Roman"/>
          <w:color w:val="444444"/>
          <w:sz w:val="18"/>
          <w:szCs w:val="18"/>
          <w:lang w:val="en" w:eastAsia="lv-LV"/>
        </w:rPr>
      </w:pPr>
      <w:r w:rsidRPr="00405C96">
        <w:rPr>
          <w:rFonts w:ascii="Verdana" w:eastAsia="Times New Roman" w:hAnsi="Verdana" w:cs="Times New Roman"/>
          <w:color w:val="444444"/>
          <w:sz w:val="18"/>
          <w:szCs w:val="18"/>
          <w:lang w:val="en" w:eastAsia="lv-LV"/>
        </w:rPr>
        <w:t>The remainder of this paper considers indications of the National-led government’s plans for public management in New Zealand. One can see early signs of the public service reacting to the new political climate in, for example, the Ministry of Social Development’s Briefing to the Incoming Minister. The briefing outlines a ‘Value for Money’ initiative, which includes a commitment to ‘reducing the number of staff we employ by upwards of 5 per cent over the next four years’ (Ministry of Social Development 2008:33). Moreover, the briefing takes some trouble to illustrate that ‘80 per cent of all [MSD] staff have frontline roles’, while a further 7 per cent ‘directly support frontline services’ (2008:16). As government’s largest and biggest-spending department, MSD clearly is a target for the new Cabinet’s interest in controlling costs and capping the numbers of ‘bureaucrats’. The new Minister for Social Development stated in response to MSD’s briefing paper: ‘I aim to hold the department to that [5 per cent] target’ (Bennett 2008).</w:t>
      </w:r>
    </w:p>
    <w:p w14:paraId="3F6D7960" w14:textId="77777777" w:rsidR="00405C96" w:rsidRPr="00405C96" w:rsidRDefault="00405C96" w:rsidP="00405C96">
      <w:pPr>
        <w:shd w:val="clear" w:color="auto" w:fill="FFFFFF"/>
        <w:spacing w:before="100" w:beforeAutospacing="1" w:after="100" w:afterAutospacing="1" w:line="360" w:lineRule="atLeast"/>
        <w:textAlignment w:val="top"/>
        <w:rPr>
          <w:rFonts w:ascii="Verdana" w:eastAsia="Times New Roman" w:hAnsi="Verdana" w:cs="Times New Roman"/>
          <w:color w:val="444444"/>
          <w:sz w:val="18"/>
          <w:szCs w:val="18"/>
          <w:lang w:val="en" w:eastAsia="lv-LV"/>
        </w:rPr>
      </w:pPr>
      <w:r w:rsidRPr="00405C96">
        <w:rPr>
          <w:rFonts w:ascii="Verdana" w:eastAsia="Times New Roman" w:hAnsi="Verdana" w:cs="Times New Roman"/>
          <w:color w:val="444444"/>
          <w:sz w:val="18"/>
          <w:szCs w:val="18"/>
          <w:lang w:val="en" w:eastAsia="lv-LV"/>
        </w:rPr>
        <w:t>At the same time as wishing to maintain the current levels of ‘front-line’ services, National also intends to roll out a programme of tax cuts, and relevant legislation was introduced as soon as Parliament sat after the Election. Overshadowing their whole policy strategy, however, was the unprecedented global economic turmoil of 2008, and a recession in the domestic economy. Any incoming government would be forced to reconsider its plans and budgets under these circumstances. For example, if the rise in unemployment (and hence welfare rolls) continues, how feasible would MSD’s plan to cut staff numbers be?</w:t>
      </w:r>
    </w:p>
    <w:p w14:paraId="65D63D1A" w14:textId="77777777" w:rsidR="00405C96" w:rsidRPr="00405C96" w:rsidRDefault="00405C96" w:rsidP="00405C96">
      <w:pPr>
        <w:shd w:val="clear" w:color="auto" w:fill="FFFFFF"/>
        <w:spacing w:before="100" w:beforeAutospacing="1" w:after="100" w:afterAutospacing="1" w:line="360" w:lineRule="atLeast"/>
        <w:textAlignment w:val="top"/>
        <w:rPr>
          <w:rFonts w:ascii="Verdana" w:eastAsia="Times New Roman" w:hAnsi="Verdana" w:cs="Times New Roman"/>
          <w:color w:val="444444"/>
          <w:sz w:val="18"/>
          <w:szCs w:val="18"/>
          <w:lang w:val="en" w:eastAsia="lv-LV"/>
        </w:rPr>
      </w:pPr>
      <w:r w:rsidRPr="00405C96">
        <w:rPr>
          <w:rFonts w:ascii="Verdana" w:eastAsia="Times New Roman" w:hAnsi="Verdana" w:cs="Times New Roman"/>
          <w:color w:val="444444"/>
          <w:sz w:val="18"/>
          <w:szCs w:val="18"/>
          <w:lang w:val="en" w:eastAsia="lv-LV"/>
        </w:rPr>
        <w:t>The pre-Election economic and fiscal update (issued by the Treasury under the Public Finance Act) indicated that the deteriorating world economic situation would result in lower economic growth than forecast earlier, thus seriously affecting government revenues and expenditures, and causing the surpluses forecast in Budget 2008 to be converted to substantial deficits for the subsequent 5 years. This update was prepared in August 2008, and later forecasts were revised further downwards in terms of revenue, and upwards for benefit payments.</w:t>
      </w:r>
    </w:p>
    <w:p w14:paraId="66F2F77E" w14:textId="77777777" w:rsidR="00405C96" w:rsidRPr="00405C96" w:rsidRDefault="00405C96" w:rsidP="00405C96">
      <w:pPr>
        <w:shd w:val="clear" w:color="auto" w:fill="FFFFFF"/>
        <w:spacing w:before="100" w:beforeAutospacing="1" w:after="100" w:afterAutospacing="1" w:line="360" w:lineRule="atLeast"/>
        <w:textAlignment w:val="top"/>
        <w:rPr>
          <w:rFonts w:ascii="Verdana" w:eastAsia="Times New Roman" w:hAnsi="Verdana" w:cs="Times New Roman"/>
          <w:color w:val="444444"/>
          <w:sz w:val="18"/>
          <w:szCs w:val="18"/>
          <w:lang w:val="en" w:eastAsia="lv-LV"/>
        </w:rPr>
      </w:pPr>
      <w:r w:rsidRPr="00405C96">
        <w:rPr>
          <w:rFonts w:ascii="Verdana" w:eastAsia="Times New Roman" w:hAnsi="Verdana" w:cs="Times New Roman"/>
          <w:color w:val="444444"/>
          <w:sz w:val="18"/>
          <w:szCs w:val="18"/>
          <w:lang w:val="en" w:eastAsia="lv-LV"/>
        </w:rPr>
        <w:t>Higher unemployment may mean more front-line staff in social agencies. If an economic stimulus is to be partly by way of increased expenditure on public programmes and infrastructure, then this too will require new staffing. But, the National-led government will also want to show that the state sector is – at the very least – not expanding. Apart from any reduction in particular programmes which may result from political changes in direction, it can be expected that, through the use of static or reduced funding baselines, chief executives will be forced to curb staff numbers and salaries.</w:t>
      </w:r>
    </w:p>
    <w:p w14:paraId="120D8FF1" w14:textId="77777777" w:rsidR="00405C96" w:rsidRPr="00405C96" w:rsidRDefault="00405C96" w:rsidP="00405C96">
      <w:pPr>
        <w:shd w:val="clear" w:color="auto" w:fill="FFFFFF"/>
        <w:spacing w:before="100" w:beforeAutospacing="1" w:after="100" w:afterAutospacing="1" w:line="360" w:lineRule="atLeast"/>
        <w:textAlignment w:val="top"/>
        <w:rPr>
          <w:rFonts w:ascii="Verdana" w:eastAsia="Times New Roman" w:hAnsi="Verdana" w:cs="Times New Roman"/>
          <w:color w:val="444444"/>
          <w:sz w:val="18"/>
          <w:szCs w:val="18"/>
          <w:lang w:val="en" w:eastAsia="lv-LV"/>
        </w:rPr>
      </w:pPr>
      <w:r w:rsidRPr="00405C96">
        <w:rPr>
          <w:rFonts w:ascii="Verdana" w:eastAsia="Times New Roman" w:hAnsi="Verdana" w:cs="Times New Roman"/>
          <w:b/>
          <w:bCs/>
          <w:color w:val="444444"/>
          <w:sz w:val="18"/>
          <w:szCs w:val="18"/>
          <w:lang w:val="en" w:eastAsia="lv-LV"/>
        </w:rPr>
        <w:t>Politics of Expenditure Control</w:t>
      </w:r>
      <w:r w:rsidRPr="00405C96">
        <w:rPr>
          <w:rFonts w:ascii="Verdana" w:eastAsia="Times New Roman" w:hAnsi="Verdana" w:cs="Times New Roman"/>
          <w:b/>
          <w:bCs/>
          <w:color w:val="444444"/>
          <w:sz w:val="18"/>
          <w:szCs w:val="18"/>
          <w:lang w:val="en" w:eastAsia="lv-LV"/>
        </w:rPr>
        <w:br/>
      </w:r>
      <w:r w:rsidRPr="00405C96">
        <w:rPr>
          <w:rFonts w:ascii="Verdana" w:eastAsia="Times New Roman" w:hAnsi="Verdana" w:cs="Times New Roman"/>
          <w:color w:val="444444"/>
          <w:sz w:val="18"/>
          <w:szCs w:val="18"/>
          <w:lang w:val="en" w:eastAsia="lv-LV"/>
        </w:rPr>
        <w:t>In order to form a centre-right government, the leading National Party has had to seek support on confidence and supply votes from minor parties. The most obvious supporting party was the ACT Party, which has the potential to move National’s priorities to the right, and which alone would have provided National with a majority in the House of Representatives. But, presumably with an eye to greater flexibility in achieving legislative goals and to longer-term political partnerships, National also sought support from the Maori Party, which has the potential to shift National’s priorities more to the left of centre.</w:t>
      </w:r>
    </w:p>
    <w:p w14:paraId="2D57CAFF" w14:textId="77777777" w:rsidR="00405C96" w:rsidRPr="00405C96" w:rsidRDefault="00405C96" w:rsidP="00405C96">
      <w:pPr>
        <w:shd w:val="clear" w:color="auto" w:fill="FFFFFF"/>
        <w:spacing w:before="100" w:beforeAutospacing="1" w:after="100" w:afterAutospacing="1" w:line="360" w:lineRule="atLeast"/>
        <w:textAlignment w:val="top"/>
        <w:rPr>
          <w:rFonts w:ascii="Verdana" w:eastAsia="Times New Roman" w:hAnsi="Verdana" w:cs="Times New Roman"/>
          <w:color w:val="444444"/>
          <w:sz w:val="18"/>
          <w:szCs w:val="18"/>
          <w:lang w:val="en" w:eastAsia="lv-LV"/>
        </w:rPr>
      </w:pPr>
      <w:r w:rsidRPr="00405C96">
        <w:rPr>
          <w:rFonts w:ascii="Verdana" w:eastAsia="Times New Roman" w:hAnsi="Verdana" w:cs="Times New Roman"/>
          <w:color w:val="444444"/>
          <w:sz w:val="18"/>
          <w:szCs w:val="18"/>
          <w:lang w:val="en" w:eastAsia="lv-LV"/>
        </w:rPr>
        <w:t>A significant feature of the agreement between National and ACT is the requirement for an extensive review of government expenditure. National’s pre-Election promises to cap the number of bureaucrats will do little to achieve significant cuts in expenditure, and so pressures could emerge to reduce, eliminate or substitute whole programmes. ACT will be ready for this, ideologically. Whether they can convince National’s Ministers, who have waited nine years to control the levers of power, to curtail programmes, remains to be seen. As part of the parliamentary support agreement, the ACT Party’s leader was given the portfolio of Minister (outside of Cabinet) for Local Government. In this new role, he has stated that he would be ‘rooting out those practices that lead to needless expenditure . . . [and] demanding higher standards of accountability, less risk-taking with ratepayers’ money and a focus on core areas of council operations’ (Hide 2008).</w:t>
      </w:r>
    </w:p>
    <w:p w14:paraId="1C136631" w14:textId="77777777" w:rsidR="00405C96" w:rsidRPr="00405C96" w:rsidRDefault="00405C96" w:rsidP="00405C96">
      <w:pPr>
        <w:shd w:val="clear" w:color="auto" w:fill="FFFFFF"/>
        <w:spacing w:before="100" w:beforeAutospacing="1" w:after="100" w:afterAutospacing="1" w:line="360" w:lineRule="atLeast"/>
        <w:textAlignment w:val="top"/>
        <w:rPr>
          <w:rFonts w:ascii="Verdana" w:eastAsia="Times New Roman" w:hAnsi="Verdana" w:cs="Times New Roman"/>
          <w:color w:val="444444"/>
          <w:sz w:val="18"/>
          <w:szCs w:val="18"/>
          <w:lang w:val="en" w:eastAsia="lv-LV"/>
        </w:rPr>
      </w:pPr>
      <w:r w:rsidRPr="00405C96">
        <w:rPr>
          <w:rFonts w:ascii="Verdana" w:eastAsia="Times New Roman" w:hAnsi="Verdana" w:cs="Times New Roman"/>
          <w:color w:val="444444"/>
          <w:sz w:val="18"/>
          <w:szCs w:val="18"/>
          <w:lang w:val="en" w:eastAsia="lv-LV"/>
        </w:rPr>
        <w:t>Given the National Party’s statements on the state sector before the Election, and given also the global recognition of the need for governments to avoid radical spending cuts in the face of economic recession, it appears unlikely that the present National-led government will seek to undertake an about-face and turn public management back to the days of the so-called ‘New Zealand model’ of the late 1980s and early 1990s. Clearly there will be some changes and shifting of priorities, especially in controlling costs. National has committed itself to reducing perceived bureaucratic excess at the centre, but it is unlikely that this will mean a wholesale ‘slash and burn’ – rather, capping of budgets and maybe some attrition in numbers, and/or some shifting of staffing priorities towards ‘front-line’ service, assuming that the ACT Party’s influence is kept in check. There have been a few changes in specific areas of the state sector foreshadowed by the incoming government, for example:</w:t>
      </w:r>
    </w:p>
    <w:p w14:paraId="2F441934" w14:textId="77777777" w:rsidR="00405C96" w:rsidRPr="00405C96" w:rsidRDefault="00405C96" w:rsidP="00405C96">
      <w:pPr>
        <w:numPr>
          <w:ilvl w:val="0"/>
          <w:numId w:val="16"/>
        </w:numPr>
        <w:shd w:val="clear" w:color="auto" w:fill="FFFFFF"/>
        <w:spacing w:before="100" w:beforeAutospacing="1" w:after="100" w:afterAutospacing="1" w:line="360" w:lineRule="auto"/>
        <w:ind w:left="870"/>
        <w:textAlignment w:val="top"/>
        <w:rPr>
          <w:rFonts w:ascii="Verdana" w:eastAsia="Times New Roman" w:hAnsi="Verdana" w:cs="Times New Roman"/>
          <w:color w:val="444444"/>
          <w:sz w:val="18"/>
          <w:szCs w:val="18"/>
          <w:lang w:val="en" w:eastAsia="lv-LV"/>
        </w:rPr>
      </w:pPr>
      <w:r w:rsidRPr="00405C96">
        <w:rPr>
          <w:rFonts w:ascii="Verdana" w:eastAsia="Times New Roman" w:hAnsi="Verdana" w:cs="Times New Roman"/>
          <w:color w:val="444444"/>
          <w:sz w:val="18"/>
          <w:szCs w:val="18"/>
          <w:lang w:val="en" w:eastAsia="lv-LV"/>
        </w:rPr>
        <w:t>Criticism of the number of District Health Boards, of which there are 21 for a population of less than 4.3 million; and discussion of the potential to reduce the numbers of middle managers in this sector.</w:t>
      </w:r>
    </w:p>
    <w:p w14:paraId="6287AA98" w14:textId="77777777" w:rsidR="00405C96" w:rsidRPr="00405C96" w:rsidRDefault="00405C96" w:rsidP="00405C96">
      <w:pPr>
        <w:numPr>
          <w:ilvl w:val="0"/>
          <w:numId w:val="16"/>
        </w:numPr>
        <w:shd w:val="clear" w:color="auto" w:fill="FFFFFF"/>
        <w:spacing w:before="100" w:beforeAutospacing="1" w:after="100" w:afterAutospacing="1" w:line="360" w:lineRule="auto"/>
        <w:ind w:left="870"/>
        <w:textAlignment w:val="top"/>
        <w:rPr>
          <w:rFonts w:ascii="Verdana" w:eastAsia="Times New Roman" w:hAnsi="Verdana" w:cs="Times New Roman"/>
          <w:color w:val="444444"/>
          <w:sz w:val="18"/>
          <w:szCs w:val="18"/>
          <w:lang w:val="en" w:eastAsia="lv-LV"/>
        </w:rPr>
      </w:pPr>
      <w:r w:rsidRPr="00405C96">
        <w:rPr>
          <w:rFonts w:ascii="Verdana" w:eastAsia="Times New Roman" w:hAnsi="Verdana" w:cs="Times New Roman"/>
          <w:color w:val="444444"/>
          <w:sz w:val="18"/>
          <w:szCs w:val="18"/>
          <w:lang w:val="en" w:eastAsia="lv-LV"/>
        </w:rPr>
        <w:t>An interest in competitive provision of workers’ compensation (presently covered by a universal scheme and a state monopoly provider).</w:t>
      </w:r>
    </w:p>
    <w:p w14:paraId="09A866BC" w14:textId="77777777" w:rsidR="00405C96" w:rsidRPr="00405C96" w:rsidRDefault="00405C96" w:rsidP="00405C96">
      <w:pPr>
        <w:numPr>
          <w:ilvl w:val="0"/>
          <w:numId w:val="16"/>
        </w:numPr>
        <w:shd w:val="clear" w:color="auto" w:fill="FFFFFF"/>
        <w:spacing w:before="100" w:beforeAutospacing="1" w:after="100" w:afterAutospacing="1" w:line="360" w:lineRule="auto"/>
        <w:ind w:left="870"/>
        <w:textAlignment w:val="top"/>
        <w:rPr>
          <w:rFonts w:ascii="Verdana" w:eastAsia="Times New Roman" w:hAnsi="Verdana" w:cs="Times New Roman"/>
          <w:color w:val="444444"/>
          <w:sz w:val="18"/>
          <w:szCs w:val="18"/>
          <w:lang w:val="en" w:eastAsia="lv-LV"/>
        </w:rPr>
      </w:pPr>
      <w:r w:rsidRPr="00405C96">
        <w:rPr>
          <w:rFonts w:ascii="Verdana" w:eastAsia="Times New Roman" w:hAnsi="Verdana" w:cs="Times New Roman"/>
          <w:color w:val="444444"/>
          <w:sz w:val="18"/>
          <w:szCs w:val="18"/>
          <w:lang w:val="en" w:eastAsia="lv-LV"/>
        </w:rPr>
        <w:t>The possibility of a new prison being managed by a private-sector agent.</w:t>
      </w:r>
    </w:p>
    <w:p w14:paraId="1C79E1C9" w14:textId="77777777" w:rsidR="00405C96" w:rsidRPr="00405C96" w:rsidRDefault="00405C96" w:rsidP="00405C96">
      <w:pPr>
        <w:shd w:val="clear" w:color="auto" w:fill="FFFFFF"/>
        <w:spacing w:before="100" w:beforeAutospacing="1" w:after="100" w:afterAutospacing="1" w:line="360" w:lineRule="atLeast"/>
        <w:textAlignment w:val="top"/>
        <w:rPr>
          <w:rFonts w:ascii="Verdana" w:eastAsia="Times New Roman" w:hAnsi="Verdana" w:cs="Times New Roman"/>
          <w:color w:val="444444"/>
          <w:sz w:val="18"/>
          <w:szCs w:val="18"/>
          <w:lang w:val="en" w:eastAsia="lv-LV"/>
        </w:rPr>
      </w:pPr>
      <w:r w:rsidRPr="00405C96">
        <w:rPr>
          <w:rFonts w:ascii="Verdana" w:eastAsia="Times New Roman" w:hAnsi="Verdana" w:cs="Times New Roman"/>
          <w:color w:val="444444"/>
          <w:sz w:val="18"/>
          <w:szCs w:val="18"/>
          <w:lang w:val="en" w:eastAsia="lv-LV"/>
        </w:rPr>
        <w:t>The National Party has not ruled out state-asset sales, but said that these would only be proposed for its second term in office, if it wins the mandate for that.</w:t>
      </w:r>
    </w:p>
    <w:p w14:paraId="0AD7AB4C" w14:textId="77777777" w:rsidR="00405C96" w:rsidRPr="00405C96" w:rsidRDefault="00405C96" w:rsidP="00405C96">
      <w:pPr>
        <w:shd w:val="clear" w:color="auto" w:fill="FFFFFF"/>
        <w:spacing w:before="100" w:beforeAutospacing="1" w:after="100" w:afterAutospacing="1" w:line="360" w:lineRule="atLeast"/>
        <w:textAlignment w:val="top"/>
        <w:rPr>
          <w:rFonts w:ascii="Verdana" w:eastAsia="Times New Roman" w:hAnsi="Verdana" w:cs="Times New Roman"/>
          <w:color w:val="444444"/>
          <w:sz w:val="18"/>
          <w:szCs w:val="18"/>
          <w:lang w:val="en" w:eastAsia="lv-LV"/>
        </w:rPr>
      </w:pPr>
      <w:r w:rsidRPr="00405C96">
        <w:rPr>
          <w:rFonts w:ascii="Verdana" w:eastAsia="Times New Roman" w:hAnsi="Verdana" w:cs="Times New Roman"/>
          <w:b/>
          <w:bCs/>
          <w:color w:val="444444"/>
          <w:sz w:val="18"/>
          <w:szCs w:val="18"/>
          <w:lang w:val="en" w:eastAsia="lv-LV"/>
        </w:rPr>
        <w:t>Conclusion</w:t>
      </w:r>
      <w:r w:rsidRPr="00405C96">
        <w:rPr>
          <w:rFonts w:ascii="Verdana" w:eastAsia="Times New Roman" w:hAnsi="Verdana" w:cs="Times New Roman"/>
          <w:color w:val="444444"/>
          <w:sz w:val="18"/>
          <w:szCs w:val="18"/>
          <w:lang w:val="en" w:eastAsia="lv-LV"/>
        </w:rPr>
        <w:br/>
      </w:r>
      <w:proofErr w:type="gramStart"/>
      <w:r w:rsidRPr="00405C96">
        <w:rPr>
          <w:rFonts w:ascii="Verdana" w:eastAsia="Times New Roman" w:hAnsi="Verdana" w:cs="Times New Roman"/>
          <w:color w:val="444444"/>
          <w:sz w:val="18"/>
          <w:szCs w:val="18"/>
          <w:lang w:val="en" w:eastAsia="lv-LV"/>
        </w:rPr>
        <w:t>So</w:t>
      </w:r>
      <w:proofErr w:type="gramEnd"/>
      <w:r w:rsidRPr="00405C96">
        <w:rPr>
          <w:rFonts w:ascii="Verdana" w:eastAsia="Times New Roman" w:hAnsi="Verdana" w:cs="Times New Roman"/>
          <w:color w:val="444444"/>
          <w:sz w:val="18"/>
          <w:szCs w:val="18"/>
          <w:lang w:val="en" w:eastAsia="lv-LV"/>
        </w:rPr>
        <w:t>, while there will no doubt be changes, it looks unlikely that the National-led government will deviate radically from the pragmatic approach initiated by their predecessors. The widely renowned ‘New Zealand model’ of NPM, implemented during the period 1986 to 1996, was fine-tuned, modified and revised by the Labour-led government of 1999 to 2008 – to the extent that the market-led mechanisms of the classic model of the 1986–96 era are no longer considered very useful. And there is little likelihood that the incoming centre-right government will swing back to that radical market-driven model. While cost-control and some changes of direction are, of course, on the agenda, the incoming government seems determined to continue with Labour’s pragmatism, as distinct from public-management reform modelled upon economic rationalism.</w:t>
      </w:r>
    </w:p>
    <w:p w14:paraId="0ED33CD5" w14:textId="77777777" w:rsidR="00405C96" w:rsidRPr="00405C96" w:rsidRDefault="00405C96" w:rsidP="00405C96">
      <w:pPr>
        <w:shd w:val="clear" w:color="auto" w:fill="FFFFFF"/>
        <w:spacing w:before="100" w:beforeAutospacing="1" w:after="100" w:afterAutospacing="1" w:line="360" w:lineRule="atLeast"/>
        <w:textAlignment w:val="top"/>
        <w:rPr>
          <w:rFonts w:ascii="Verdana" w:eastAsia="Times New Roman" w:hAnsi="Verdana" w:cs="Times New Roman"/>
          <w:color w:val="444444"/>
          <w:sz w:val="18"/>
          <w:szCs w:val="18"/>
          <w:lang w:val="en" w:eastAsia="lv-LV"/>
        </w:rPr>
      </w:pPr>
      <w:r w:rsidRPr="00405C96">
        <w:rPr>
          <w:rFonts w:ascii="Verdana" w:eastAsia="Times New Roman" w:hAnsi="Verdana" w:cs="Times New Roman"/>
          <w:color w:val="444444"/>
          <w:sz w:val="18"/>
          <w:szCs w:val="18"/>
          <w:lang w:val="en" w:eastAsia="lv-LV"/>
        </w:rPr>
        <w:t>International commentators who have cited ‘the New Zealand model’ of NPM have generally referred to Boston et al. (1996) as the authoritative reference. A lot of water has passed under the bridge in Wellington since that text was published, however, and authors in the field need to reconsider the evolving culture of public management in New Zealand. Some of the original NPM practices have been preserved, some refined and some improved upon; but others have been quietly abandoned, or even reversed. The former influence of economic rationalism on public management reform has given way to a wider concern for public-service ethics, collaboration and social outcomes.</w:t>
      </w:r>
    </w:p>
    <w:p w14:paraId="58D17006" w14:textId="77777777" w:rsidR="00405C96" w:rsidRPr="00405C96" w:rsidRDefault="00405C96" w:rsidP="00405C96">
      <w:pPr>
        <w:shd w:val="clear" w:color="auto" w:fill="FFFFFF"/>
        <w:spacing w:before="100" w:beforeAutospacing="1" w:after="100" w:afterAutospacing="1" w:line="360" w:lineRule="atLeast"/>
        <w:textAlignment w:val="top"/>
        <w:rPr>
          <w:rFonts w:ascii="Verdana" w:eastAsia="Times New Roman" w:hAnsi="Verdana" w:cs="Times New Roman"/>
          <w:color w:val="444444"/>
          <w:sz w:val="18"/>
          <w:szCs w:val="18"/>
          <w:lang w:val="en" w:eastAsia="lv-LV"/>
        </w:rPr>
      </w:pPr>
      <w:r w:rsidRPr="00405C96">
        <w:rPr>
          <w:rFonts w:ascii="Verdana" w:eastAsia="Times New Roman" w:hAnsi="Verdana" w:cs="Times New Roman"/>
          <w:b/>
          <w:bCs/>
          <w:color w:val="444444"/>
          <w:sz w:val="18"/>
          <w:szCs w:val="18"/>
          <w:lang w:val="en" w:eastAsia="lv-LV"/>
        </w:rPr>
        <w:br w:type="page"/>
        <w:t>References</w:t>
      </w:r>
      <w:r w:rsidRPr="00405C96">
        <w:rPr>
          <w:rFonts w:ascii="Verdana" w:eastAsia="Times New Roman" w:hAnsi="Verdana" w:cs="Times New Roman"/>
          <w:color w:val="444444"/>
          <w:sz w:val="18"/>
          <w:szCs w:val="18"/>
          <w:lang w:val="en" w:eastAsia="lv-LV"/>
        </w:rPr>
        <w:br/>
        <w:t xml:space="preserve">Ashton, T. 1999. ‘The Health Reforms: To Market and Back.’ In Redesigning the New Zealand Welfare State, </w:t>
      </w:r>
      <w:proofErr w:type="gramStart"/>
      <w:r w:rsidRPr="00405C96">
        <w:rPr>
          <w:rFonts w:ascii="Verdana" w:eastAsia="Times New Roman" w:hAnsi="Verdana" w:cs="Times New Roman"/>
          <w:color w:val="444444"/>
          <w:sz w:val="18"/>
          <w:szCs w:val="18"/>
          <w:lang w:val="en" w:eastAsia="lv-LV"/>
        </w:rPr>
        <w:t>eds</w:t>
      </w:r>
      <w:proofErr w:type="gramEnd"/>
      <w:r w:rsidRPr="00405C96">
        <w:rPr>
          <w:rFonts w:ascii="Verdana" w:eastAsia="Times New Roman" w:hAnsi="Verdana" w:cs="Times New Roman"/>
          <w:color w:val="444444"/>
          <w:sz w:val="18"/>
          <w:szCs w:val="18"/>
          <w:lang w:val="en" w:eastAsia="lv-LV"/>
        </w:rPr>
        <w:t xml:space="preserve"> J. Boston, P. Dalziel and S. St John. Auckland: Oxford University Press, 134–153.</w:t>
      </w:r>
    </w:p>
    <w:p w14:paraId="75C37C4E" w14:textId="77777777" w:rsidR="00405C96" w:rsidRPr="00405C96" w:rsidRDefault="00405C96" w:rsidP="00405C96">
      <w:pPr>
        <w:shd w:val="clear" w:color="auto" w:fill="FFFFFF"/>
        <w:spacing w:before="100" w:beforeAutospacing="1" w:after="100" w:afterAutospacing="1" w:line="360" w:lineRule="atLeast"/>
        <w:textAlignment w:val="top"/>
        <w:rPr>
          <w:rFonts w:ascii="Verdana" w:eastAsia="Times New Roman" w:hAnsi="Verdana" w:cs="Times New Roman"/>
          <w:color w:val="444444"/>
          <w:sz w:val="18"/>
          <w:szCs w:val="18"/>
          <w:lang w:val="en" w:eastAsia="lv-LV"/>
        </w:rPr>
      </w:pPr>
      <w:r w:rsidRPr="00405C96">
        <w:rPr>
          <w:rFonts w:ascii="Verdana" w:eastAsia="Times New Roman" w:hAnsi="Verdana" w:cs="Times New Roman"/>
          <w:color w:val="444444"/>
          <w:sz w:val="18"/>
          <w:szCs w:val="18"/>
          <w:lang w:val="en" w:eastAsia="lv-LV"/>
        </w:rPr>
        <w:t xml:space="preserve">Bennett, P. 2008. ‘Papers Underline Poverty Containment Challenges.’ Ministerial press statement, 9 December 2008. </w:t>
      </w:r>
      <w:hyperlink r:id="rId35" w:tooltip="http://www.beehive.govt.nz/release/social+development+bim+release" w:history="1">
        <w:r w:rsidRPr="00405C96">
          <w:rPr>
            <w:rFonts w:ascii="Verdana" w:eastAsia="Times New Roman" w:hAnsi="Verdana" w:cs="Times New Roman"/>
            <w:color w:val="0198DA"/>
            <w:sz w:val="18"/>
            <w:szCs w:val="18"/>
            <w:lang w:val="en" w:eastAsia="lv-LV"/>
          </w:rPr>
          <w:t>http://www.beehive.govt.nz/release/social+development+bim+release</w:t>
        </w:r>
      </w:hyperlink>
      <w:r w:rsidRPr="00405C96">
        <w:rPr>
          <w:rFonts w:ascii="Verdana" w:eastAsia="Times New Roman" w:hAnsi="Verdana" w:cs="Times New Roman"/>
          <w:color w:val="444444"/>
          <w:sz w:val="18"/>
          <w:szCs w:val="18"/>
          <w:lang w:val="en" w:eastAsia="lv-LV"/>
        </w:rPr>
        <w:br/>
        <w:t>accessed 10 December 2008.</w:t>
      </w:r>
    </w:p>
    <w:p w14:paraId="6784AC47" w14:textId="77777777" w:rsidR="00405C96" w:rsidRPr="00405C96" w:rsidRDefault="00405C96" w:rsidP="00405C96">
      <w:pPr>
        <w:shd w:val="clear" w:color="auto" w:fill="FFFFFF"/>
        <w:spacing w:before="100" w:beforeAutospacing="1" w:after="100" w:afterAutospacing="1" w:line="360" w:lineRule="atLeast"/>
        <w:textAlignment w:val="top"/>
        <w:rPr>
          <w:rFonts w:ascii="Verdana" w:eastAsia="Times New Roman" w:hAnsi="Verdana" w:cs="Times New Roman"/>
          <w:color w:val="444444"/>
          <w:sz w:val="18"/>
          <w:szCs w:val="18"/>
          <w:lang w:val="en" w:eastAsia="lv-LV"/>
        </w:rPr>
      </w:pPr>
      <w:r w:rsidRPr="00405C96">
        <w:rPr>
          <w:rFonts w:ascii="Verdana" w:eastAsia="Times New Roman" w:hAnsi="Verdana" w:cs="Times New Roman"/>
          <w:color w:val="444444"/>
          <w:sz w:val="18"/>
          <w:szCs w:val="18"/>
          <w:lang w:val="en" w:eastAsia="lv-LV"/>
        </w:rPr>
        <w:t>Boston, J., Martin, J., Pallot, J. and Walsh, P. 1996. Public Management: The New Zealand Model. Auckland: Oxford University Press</w:t>
      </w:r>
    </w:p>
    <w:p w14:paraId="67D20804" w14:textId="77777777" w:rsidR="00405C96" w:rsidRPr="00405C96" w:rsidRDefault="00405C96" w:rsidP="00405C96">
      <w:pPr>
        <w:shd w:val="clear" w:color="auto" w:fill="FFFFFF"/>
        <w:spacing w:before="100" w:beforeAutospacing="1" w:after="100" w:afterAutospacing="1" w:line="360" w:lineRule="atLeast"/>
        <w:textAlignment w:val="top"/>
        <w:rPr>
          <w:rFonts w:ascii="Verdana" w:eastAsia="Times New Roman" w:hAnsi="Verdana" w:cs="Times New Roman"/>
          <w:color w:val="444444"/>
          <w:sz w:val="18"/>
          <w:szCs w:val="18"/>
          <w:lang w:val="en" w:eastAsia="lv-LV"/>
        </w:rPr>
      </w:pPr>
      <w:r w:rsidRPr="00405C96">
        <w:rPr>
          <w:rFonts w:ascii="Verdana" w:eastAsia="Times New Roman" w:hAnsi="Verdana" w:cs="Times New Roman"/>
          <w:color w:val="444444"/>
          <w:sz w:val="18"/>
          <w:szCs w:val="18"/>
          <w:lang w:val="en" w:eastAsia="lv-LV"/>
        </w:rPr>
        <w:t>Chapman, J. and G. Duncan 2007. ‘Is There Now a New “New Zealand Model”?’ Public Management Review 9(1):1–25.</w:t>
      </w:r>
    </w:p>
    <w:p w14:paraId="7F8A74B0" w14:textId="77777777" w:rsidR="00405C96" w:rsidRPr="00405C96" w:rsidRDefault="00405C96" w:rsidP="00405C96">
      <w:pPr>
        <w:shd w:val="clear" w:color="auto" w:fill="FFFFFF"/>
        <w:spacing w:before="100" w:beforeAutospacing="1" w:after="100" w:afterAutospacing="1" w:line="360" w:lineRule="atLeast"/>
        <w:textAlignment w:val="top"/>
        <w:rPr>
          <w:rFonts w:ascii="Verdana" w:eastAsia="Times New Roman" w:hAnsi="Verdana" w:cs="Times New Roman"/>
          <w:color w:val="444444"/>
          <w:sz w:val="18"/>
          <w:szCs w:val="18"/>
          <w:lang w:val="en" w:eastAsia="lv-LV"/>
        </w:rPr>
      </w:pPr>
      <w:r w:rsidRPr="00405C96">
        <w:rPr>
          <w:rFonts w:ascii="Verdana" w:eastAsia="Times New Roman" w:hAnsi="Verdana" w:cs="Times New Roman"/>
          <w:color w:val="444444"/>
          <w:sz w:val="18"/>
          <w:szCs w:val="18"/>
          <w:lang w:val="en" w:eastAsia="lv-LV"/>
        </w:rPr>
        <w:t xml:space="preserve">Duncan, G. 1995. ‘New Mandarins New Zealand Style.’ In The Human Costs of Managerialism, </w:t>
      </w:r>
      <w:proofErr w:type="gramStart"/>
      <w:r w:rsidRPr="00405C96">
        <w:rPr>
          <w:rFonts w:ascii="Verdana" w:eastAsia="Times New Roman" w:hAnsi="Verdana" w:cs="Times New Roman"/>
          <w:color w:val="444444"/>
          <w:sz w:val="18"/>
          <w:szCs w:val="18"/>
          <w:lang w:val="en" w:eastAsia="lv-LV"/>
        </w:rPr>
        <w:t>eds</w:t>
      </w:r>
      <w:proofErr w:type="gramEnd"/>
      <w:r w:rsidRPr="00405C96">
        <w:rPr>
          <w:rFonts w:ascii="Verdana" w:eastAsia="Times New Roman" w:hAnsi="Verdana" w:cs="Times New Roman"/>
          <w:color w:val="444444"/>
          <w:sz w:val="18"/>
          <w:szCs w:val="18"/>
          <w:lang w:val="en" w:eastAsia="lv-LV"/>
        </w:rPr>
        <w:t xml:space="preserve"> S. Rees and G. Rodley. Leichhardt NSW: Pluto Press, 159–168.</w:t>
      </w:r>
    </w:p>
    <w:p w14:paraId="7DAB9213" w14:textId="77777777" w:rsidR="00405C96" w:rsidRPr="00405C96" w:rsidRDefault="00405C96" w:rsidP="00405C96">
      <w:pPr>
        <w:shd w:val="clear" w:color="auto" w:fill="FFFFFF"/>
        <w:spacing w:before="100" w:beforeAutospacing="1" w:after="100" w:afterAutospacing="1" w:line="360" w:lineRule="atLeast"/>
        <w:textAlignment w:val="top"/>
        <w:rPr>
          <w:rFonts w:ascii="Verdana" w:eastAsia="Times New Roman" w:hAnsi="Verdana" w:cs="Times New Roman"/>
          <w:color w:val="444444"/>
          <w:sz w:val="18"/>
          <w:szCs w:val="18"/>
          <w:lang w:val="en" w:eastAsia="lv-LV"/>
        </w:rPr>
      </w:pPr>
      <w:r w:rsidRPr="00405C96">
        <w:rPr>
          <w:rFonts w:ascii="Verdana" w:eastAsia="Times New Roman" w:hAnsi="Verdana" w:cs="Times New Roman"/>
          <w:color w:val="444444"/>
          <w:sz w:val="18"/>
          <w:szCs w:val="18"/>
          <w:lang w:val="en" w:eastAsia="lv-LV"/>
        </w:rPr>
        <w:t>Duncan, G. 2002. ‘Workers’ Compensation.’ In Occupational Health and Safety in New Zealand: Contemporary Social Research, ed. M. Lloyd. Palmerston North: Dunmore, 19–42.</w:t>
      </w:r>
    </w:p>
    <w:p w14:paraId="3A0FD2C5" w14:textId="77777777" w:rsidR="00405C96" w:rsidRPr="00405C96" w:rsidRDefault="00405C96" w:rsidP="00405C96">
      <w:pPr>
        <w:shd w:val="clear" w:color="auto" w:fill="FFFFFF"/>
        <w:spacing w:before="100" w:beforeAutospacing="1" w:after="100" w:afterAutospacing="1" w:line="360" w:lineRule="atLeast"/>
        <w:textAlignment w:val="top"/>
        <w:rPr>
          <w:rFonts w:ascii="Verdana" w:eastAsia="Times New Roman" w:hAnsi="Verdana" w:cs="Times New Roman"/>
          <w:color w:val="444444"/>
          <w:sz w:val="18"/>
          <w:szCs w:val="18"/>
          <w:lang w:val="en" w:eastAsia="lv-LV"/>
        </w:rPr>
      </w:pPr>
      <w:r w:rsidRPr="00405C96">
        <w:rPr>
          <w:rFonts w:ascii="Verdana" w:eastAsia="Times New Roman" w:hAnsi="Verdana" w:cs="Times New Roman"/>
          <w:color w:val="444444"/>
          <w:sz w:val="18"/>
          <w:szCs w:val="18"/>
          <w:lang w:val="en" w:eastAsia="lv-LV"/>
        </w:rPr>
        <w:t xml:space="preserve">Easton, B. 1995. ‘The Rise of the Generic Manager.’ In The Human Costs of Managerialism, </w:t>
      </w:r>
      <w:proofErr w:type="gramStart"/>
      <w:r w:rsidRPr="00405C96">
        <w:rPr>
          <w:rFonts w:ascii="Verdana" w:eastAsia="Times New Roman" w:hAnsi="Verdana" w:cs="Times New Roman"/>
          <w:color w:val="444444"/>
          <w:sz w:val="18"/>
          <w:szCs w:val="18"/>
          <w:lang w:val="en" w:eastAsia="lv-LV"/>
        </w:rPr>
        <w:t>eds</w:t>
      </w:r>
      <w:proofErr w:type="gramEnd"/>
      <w:r w:rsidRPr="00405C96">
        <w:rPr>
          <w:rFonts w:ascii="Verdana" w:eastAsia="Times New Roman" w:hAnsi="Verdana" w:cs="Times New Roman"/>
          <w:color w:val="444444"/>
          <w:sz w:val="18"/>
          <w:szCs w:val="18"/>
          <w:lang w:val="en" w:eastAsia="lv-LV"/>
        </w:rPr>
        <w:t xml:space="preserve"> S. Rees and G. Rodley. Leichhardt NSW: Pluto Press, 39–48.</w:t>
      </w:r>
    </w:p>
    <w:p w14:paraId="0C15B0C0" w14:textId="77777777" w:rsidR="00405C96" w:rsidRPr="00405C96" w:rsidRDefault="00405C96" w:rsidP="00405C96">
      <w:pPr>
        <w:shd w:val="clear" w:color="auto" w:fill="FFFFFF"/>
        <w:spacing w:before="100" w:beforeAutospacing="1" w:after="100" w:afterAutospacing="1" w:line="360" w:lineRule="atLeast"/>
        <w:textAlignment w:val="top"/>
        <w:rPr>
          <w:rFonts w:ascii="Verdana" w:eastAsia="Times New Roman" w:hAnsi="Verdana" w:cs="Times New Roman"/>
          <w:color w:val="444444"/>
          <w:sz w:val="18"/>
          <w:szCs w:val="18"/>
          <w:lang w:val="en" w:eastAsia="lv-LV"/>
        </w:rPr>
      </w:pPr>
      <w:r w:rsidRPr="00405C96">
        <w:rPr>
          <w:rFonts w:ascii="Verdana" w:eastAsia="Times New Roman" w:hAnsi="Verdana" w:cs="Times New Roman"/>
          <w:color w:val="444444"/>
          <w:sz w:val="18"/>
          <w:szCs w:val="18"/>
          <w:lang w:val="en" w:eastAsia="lv-LV"/>
        </w:rPr>
        <w:t xml:space="preserve">Gill, D. 2008a. ‘By Accident or Design – Changes in the Structure of the State of New Zealand.’ Paper presented to “After the Reforms” Symposium, Wellington, </w:t>
      </w:r>
      <w:proofErr w:type="gramStart"/>
      <w:r w:rsidRPr="00405C96">
        <w:rPr>
          <w:rFonts w:ascii="Verdana" w:eastAsia="Times New Roman" w:hAnsi="Verdana" w:cs="Times New Roman"/>
          <w:color w:val="444444"/>
          <w:sz w:val="18"/>
          <w:szCs w:val="18"/>
          <w:lang w:val="en" w:eastAsia="lv-LV"/>
        </w:rPr>
        <w:t>February</w:t>
      </w:r>
      <w:proofErr w:type="gramEnd"/>
      <w:r w:rsidRPr="00405C96">
        <w:rPr>
          <w:rFonts w:ascii="Verdana" w:eastAsia="Times New Roman" w:hAnsi="Verdana" w:cs="Times New Roman"/>
          <w:color w:val="444444"/>
          <w:sz w:val="18"/>
          <w:szCs w:val="18"/>
          <w:lang w:val="en" w:eastAsia="lv-LV"/>
        </w:rPr>
        <w:t xml:space="preserve"> 2008.</w:t>
      </w:r>
    </w:p>
    <w:p w14:paraId="372A7FC8" w14:textId="77777777" w:rsidR="00405C96" w:rsidRPr="00405C96" w:rsidRDefault="00405C96" w:rsidP="00405C96">
      <w:pPr>
        <w:shd w:val="clear" w:color="auto" w:fill="FFFFFF"/>
        <w:spacing w:before="100" w:beforeAutospacing="1" w:after="100" w:afterAutospacing="1" w:line="360" w:lineRule="atLeast"/>
        <w:textAlignment w:val="top"/>
        <w:rPr>
          <w:rFonts w:ascii="Verdana" w:eastAsia="Times New Roman" w:hAnsi="Verdana" w:cs="Times New Roman"/>
          <w:color w:val="444444"/>
          <w:sz w:val="18"/>
          <w:szCs w:val="18"/>
          <w:lang w:val="en" w:eastAsia="lv-LV"/>
        </w:rPr>
      </w:pPr>
      <w:r w:rsidRPr="00405C96">
        <w:rPr>
          <w:rFonts w:ascii="Verdana" w:eastAsia="Times New Roman" w:hAnsi="Verdana" w:cs="Times New Roman"/>
          <w:color w:val="444444"/>
          <w:sz w:val="18"/>
          <w:szCs w:val="18"/>
          <w:lang w:val="en" w:eastAsia="lv-LV"/>
        </w:rPr>
        <w:t xml:space="preserve">Gill, D. 2008b. ‘Crown Entity Reform in New Zealand – Pendulum Shift.’ Paper presented to 12th Annual Conference of the International Research Society for Public Management, Brisbane, </w:t>
      </w:r>
      <w:proofErr w:type="gramStart"/>
      <w:r w:rsidRPr="00405C96">
        <w:rPr>
          <w:rFonts w:ascii="Verdana" w:eastAsia="Times New Roman" w:hAnsi="Verdana" w:cs="Times New Roman"/>
          <w:color w:val="444444"/>
          <w:sz w:val="18"/>
          <w:szCs w:val="18"/>
          <w:lang w:val="en" w:eastAsia="lv-LV"/>
        </w:rPr>
        <w:t>March</w:t>
      </w:r>
      <w:proofErr w:type="gramEnd"/>
      <w:r w:rsidRPr="00405C96">
        <w:rPr>
          <w:rFonts w:ascii="Verdana" w:eastAsia="Times New Roman" w:hAnsi="Verdana" w:cs="Times New Roman"/>
          <w:color w:val="444444"/>
          <w:sz w:val="18"/>
          <w:szCs w:val="18"/>
          <w:lang w:val="en" w:eastAsia="lv-LV"/>
        </w:rPr>
        <w:t xml:space="preserve"> 2008.</w:t>
      </w:r>
    </w:p>
    <w:p w14:paraId="7474E0D0" w14:textId="77777777" w:rsidR="00405C96" w:rsidRPr="00405C96" w:rsidRDefault="00405C96" w:rsidP="00405C96">
      <w:pPr>
        <w:shd w:val="clear" w:color="auto" w:fill="FFFFFF"/>
        <w:spacing w:before="100" w:beforeAutospacing="1" w:after="100" w:afterAutospacing="1" w:line="360" w:lineRule="atLeast"/>
        <w:textAlignment w:val="top"/>
        <w:rPr>
          <w:rFonts w:ascii="Verdana" w:eastAsia="Times New Roman" w:hAnsi="Verdana" w:cs="Times New Roman"/>
          <w:color w:val="444444"/>
          <w:sz w:val="18"/>
          <w:szCs w:val="18"/>
          <w:lang w:val="en" w:eastAsia="lv-LV"/>
        </w:rPr>
      </w:pPr>
      <w:r w:rsidRPr="00405C96">
        <w:rPr>
          <w:rFonts w:ascii="Verdana" w:eastAsia="Times New Roman" w:hAnsi="Verdana" w:cs="Times New Roman"/>
          <w:color w:val="444444"/>
          <w:sz w:val="18"/>
          <w:szCs w:val="18"/>
          <w:lang w:val="en" w:eastAsia="lv-LV"/>
        </w:rPr>
        <w:t>Gregory, R. 1998. ‘A New Zealand Tragedy: Problems of Political Responsibility.’ Governance 11(2):231–240.</w:t>
      </w:r>
    </w:p>
    <w:p w14:paraId="42E17E81" w14:textId="77777777" w:rsidR="00405C96" w:rsidRPr="00405C96" w:rsidRDefault="00405C96" w:rsidP="00405C96">
      <w:pPr>
        <w:shd w:val="clear" w:color="auto" w:fill="FFFFFF"/>
        <w:spacing w:before="100" w:beforeAutospacing="1" w:after="100" w:afterAutospacing="1" w:line="360" w:lineRule="atLeast"/>
        <w:textAlignment w:val="top"/>
        <w:rPr>
          <w:rFonts w:ascii="Verdana" w:eastAsia="Times New Roman" w:hAnsi="Verdana" w:cs="Times New Roman"/>
          <w:color w:val="444444"/>
          <w:sz w:val="18"/>
          <w:szCs w:val="18"/>
          <w:lang w:val="en" w:eastAsia="lv-LV"/>
        </w:rPr>
      </w:pPr>
      <w:r w:rsidRPr="00405C96">
        <w:rPr>
          <w:rFonts w:ascii="Verdana" w:eastAsia="Times New Roman" w:hAnsi="Verdana" w:cs="Times New Roman"/>
          <w:color w:val="444444"/>
          <w:sz w:val="18"/>
          <w:szCs w:val="18"/>
          <w:lang w:val="en" w:eastAsia="lv-LV"/>
        </w:rPr>
        <w:t>Hide, R. 2008. ‘Why Wasteful Councils Have Every Reason To Be Running Scared.’ New Zealand Herald (online version), 2 December 2008. </w:t>
      </w:r>
      <w:hyperlink r:id="rId36" w:history="1">
        <w:r w:rsidRPr="00405C96">
          <w:rPr>
            <w:rFonts w:ascii="Verdana" w:eastAsia="Times New Roman" w:hAnsi="Verdana" w:cs="Times New Roman"/>
            <w:color w:val="0198DA"/>
            <w:sz w:val="18"/>
            <w:szCs w:val="18"/>
            <w:lang w:val="en" w:eastAsia="lv-LV"/>
          </w:rPr>
          <w:t>http://www.nzherald.co.nz/nz/news/article.cfm?c_id=1&amp;objectid=10545999</w:t>
        </w:r>
      </w:hyperlink>
      <w:r w:rsidRPr="00405C96">
        <w:rPr>
          <w:rFonts w:ascii="Verdana" w:eastAsia="Times New Roman" w:hAnsi="Verdana" w:cs="Times New Roman"/>
          <w:color w:val="444444"/>
          <w:sz w:val="18"/>
          <w:szCs w:val="18"/>
          <w:lang w:val="en" w:eastAsia="lv-LV"/>
        </w:rPr>
        <w:br/>
        <w:t>accessed on 11 December 2008.</w:t>
      </w:r>
    </w:p>
    <w:p w14:paraId="5FBEE6EA" w14:textId="77777777" w:rsidR="00405C96" w:rsidRPr="00405C96" w:rsidRDefault="00405C96" w:rsidP="00405C96">
      <w:pPr>
        <w:shd w:val="clear" w:color="auto" w:fill="FFFFFF"/>
        <w:spacing w:before="100" w:beforeAutospacing="1" w:after="100" w:afterAutospacing="1" w:line="360" w:lineRule="atLeast"/>
        <w:textAlignment w:val="top"/>
        <w:rPr>
          <w:rFonts w:ascii="Verdana" w:eastAsia="Times New Roman" w:hAnsi="Verdana" w:cs="Times New Roman"/>
          <w:color w:val="444444"/>
          <w:sz w:val="18"/>
          <w:szCs w:val="18"/>
          <w:lang w:val="en" w:eastAsia="lv-LV"/>
        </w:rPr>
      </w:pPr>
      <w:r w:rsidRPr="00405C96">
        <w:rPr>
          <w:rFonts w:ascii="Verdana" w:eastAsia="Times New Roman" w:hAnsi="Verdana" w:cs="Times New Roman"/>
          <w:color w:val="444444"/>
          <w:sz w:val="18"/>
          <w:szCs w:val="18"/>
          <w:lang w:val="en" w:eastAsia="lv-LV"/>
        </w:rPr>
        <w:t>Kelsey, J. 1995. The New Zealand Experiment: A World Model for Structural Readjustment? Auckland: Auckland University Press, Bridget Williams Books.</w:t>
      </w:r>
    </w:p>
    <w:p w14:paraId="39AD86DC" w14:textId="77777777" w:rsidR="00405C96" w:rsidRPr="00405C96" w:rsidRDefault="00405C96" w:rsidP="00405C96">
      <w:pPr>
        <w:shd w:val="clear" w:color="auto" w:fill="FFFFFF"/>
        <w:spacing w:before="100" w:beforeAutospacing="1" w:after="100" w:afterAutospacing="1" w:line="360" w:lineRule="atLeast"/>
        <w:textAlignment w:val="top"/>
        <w:rPr>
          <w:rFonts w:ascii="Verdana" w:eastAsia="Times New Roman" w:hAnsi="Verdana" w:cs="Times New Roman"/>
          <w:color w:val="444444"/>
          <w:sz w:val="18"/>
          <w:szCs w:val="18"/>
          <w:lang w:val="en" w:eastAsia="lv-LV"/>
        </w:rPr>
      </w:pPr>
      <w:r w:rsidRPr="00405C96">
        <w:rPr>
          <w:rFonts w:ascii="Verdana" w:eastAsia="Times New Roman" w:hAnsi="Verdana" w:cs="Times New Roman"/>
          <w:color w:val="444444"/>
          <w:sz w:val="18"/>
          <w:szCs w:val="18"/>
          <w:lang w:val="en" w:eastAsia="lv-LV"/>
        </w:rPr>
        <w:t>Key, J. 2008a. ‘Focusing on the Front Line.’ Wellington: Speech to the National Press Club, 12 March.</w:t>
      </w:r>
    </w:p>
    <w:p w14:paraId="511B7652" w14:textId="77777777" w:rsidR="00405C96" w:rsidRPr="00405C96" w:rsidRDefault="00405C96" w:rsidP="00405C96">
      <w:pPr>
        <w:shd w:val="clear" w:color="auto" w:fill="FFFFFF"/>
        <w:spacing w:before="100" w:beforeAutospacing="1" w:after="100" w:afterAutospacing="1" w:line="360" w:lineRule="atLeast"/>
        <w:textAlignment w:val="top"/>
        <w:rPr>
          <w:rFonts w:ascii="Verdana" w:eastAsia="Times New Roman" w:hAnsi="Verdana" w:cs="Times New Roman"/>
          <w:color w:val="444444"/>
          <w:sz w:val="18"/>
          <w:szCs w:val="18"/>
          <w:lang w:val="en" w:eastAsia="lv-LV"/>
        </w:rPr>
      </w:pPr>
      <w:r w:rsidRPr="00405C96">
        <w:rPr>
          <w:rFonts w:ascii="Verdana" w:eastAsia="Times New Roman" w:hAnsi="Verdana" w:cs="Times New Roman"/>
          <w:color w:val="444444"/>
          <w:sz w:val="18"/>
          <w:szCs w:val="18"/>
          <w:lang w:val="en" w:eastAsia="lv-LV"/>
        </w:rPr>
        <w:t>Key, J. 2008b. ‘Speech to the PSA Congress.’ Wellington, 24 September. </w:t>
      </w:r>
      <w:hyperlink r:id="rId37" w:history="1">
        <w:r w:rsidRPr="00405C96">
          <w:rPr>
            <w:rFonts w:ascii="Verdana" w:eastAsia="Times New Roman" w:hAnsi="Verdana" w:cs="Times New Roman"/>
            <w:color w:val="0198DA"/>
            <w:sz w:val="18"/>
            <w:szCs w:val="18"/>
            <w:lang w:val="en" w:eastAsia="lv-LV"/>
          </w:rPr>
          <w:t>http://www.national.org.nz/Article.aspx?ArticleID=28577</w:t>
        </w:r>
      </w:hyperlink>
      <w:r w:rsidRPr="00405C96">
        <w:rPr>
          <w:rFonts w:ascii="Verdana" w:eastAsia="Times New Roman" w:hAnsi="Verdana" w:cs="Times New Roman"/>
          <w:color w:val="444444"/>
          <w:sz w:val="18"/>
          <w:szCs w:val="18"/>
          <w:lang w:val="en" w:eastAsia="lv-LV"/>
        </w:rPr>
        <w:t xml:space="preserve"> accessed on 25 September 2008.</w:t>
      </w:r>
    </w:p>
    <w:p w14:paraId="2596FDCF" w14:textId="77777777" w:rsidR="00405C96" w:rsidRPr="00405C96" w:rsidRDefault="00405C96" w:rsidP="00405C96">
      <w:pPr>
        <w:shd w:val="clear" w:color="auto" w:fill="FFFFFF"/>
        <w:spacing w:before="100" w:beforeAutospacing="1" w:after="100" w:afterAutospacing="1" w:line="360" w:lineRule="atLeast"/>
        <w:textAlignment w:val="top"/>
        <w:rPr>
          <w:rFonts w:ascii="Verdana" w:eastAsia="Times New Roman" w:hAnsi="Verdana" w:cs="Times New Roman"/>
          <w:color w:val="444444"/>
          <w:sz w:val="18"/>
          <w:szCs w:val="18"/>
          <w:lang w:val="en" w:eastAsia="lv-LV"/>
        </w:rPr>
      </w:pPr>
      <w:r w:rsidRPr="00405C96">
        <w:rPr>
          <w:rFonts w:ascii="Verdana" w:eastAsia="Times New Roman" w:hAnsi="Verdana" w:cs="Times New Roman"/>
          <w:color w:val="444444"/>
          <w:sz w:val="18"/>
          <w:szCs w:val="18"/>
          <w:lang w:val="en" w:eastAsia="lv-LV"/>
        </w:rPr>
        <w:t>Ministry of Social Development 2008. Briefing to the Incoming Minister: Organisation Briefing. Wellington: Ministry of Social Development.</w:t>
      </w:r>
    </w:p>
    <w:p w14:paraId="2C93B5C2" w14:textId="77777777" w:rsidR="00405C96" w:rsidRPr="00405C96" w:rsidRDefault="00405C96" w:rsidP="00405C96">
      <w:pPr>
        <w:shd w:val="clear" w:color="auto" w:fill="FFFFFF"/>
        <w:spacing w:before="100" w:beforeAutospacing="1" w:after="100" w:afterAutospacing="1" w:line="360" w:lineRule="atLeast"/>
        <w:textAlignment w:val="top"/>
        <w:rPr>
          <w:rFonts w:ascii="Verdana" w:eastAsia="Times New Roman" w:hAnsi="Verdana" w:cs="Times New Roman"/>
          <w:color w:val="444444"/>
          <w:sz w:val="18"/>
          <w:szCs w:val="18"/>
          <w:lang w:val="en" w:eastAsia="lv-LV"/>
        </w:rPr>
      </w:pPr>
      <w:r w:rsidRPr="00405C96">
        <w:rPr>
          <w:rFonts w:ascii="Verdana" w:eastAsia="Times New Roman" w:hAnsi="Verdana" w:cs="Times New Roman"/>
          <w:color w:val="444444"/>
          <w:sz w:val="18"/>
          <w:szCs w:val="18"/>
          <w:lang w:val="en" w:eastAsia="lv-LV"/>
        </w:rPr>
        <w:t>New Zealand National Party 2008. Better Spending, Better Services. http://national.org.nz/files/2008/state_services_policy.pdf accessed on 21 November 2008.</w:t>
      </w:r>
    </w:p>
    <w:p w14:paraId="39B098DC" w14:textId="77777777" w:rsidR="00405C96" w:rsidRPr="00405C96" w:rsidRDefault="00405C96" w:rsidP="00405C96">
      <w:pPr>
        <w:shd w:val="clear" w:color="auto" w:fill="FFFFFF"/>
        <w:spacing w:before="100" w:beforeAutospacing="1" w:after="100" w:afterAutospacing="1" w:line="360" w:lineRule="atLeast"/>
        <w:textAlignment w:val="top"/>
        <w:rPr>
          <w:rFonts w:ascii="Verdana" w:eastAsia="Times New Roman" w:hAnsi="Verdana" w:cs="Times New Roman"/>
          <w:color w:val="444444"/>
          <w:sz w:val="18"/>
          <w:szCs w:val="18"/>
          <w:lang w:val="en" w:eastAsia="lv-LV"/>
        </w:rPr>
      </w:pPr>
      <w:r w:rsidRPr="00405C96">
        <w:rPr>
          <w:rFonts w:ascii="Verdana" w:eastAsia="Times New Roman" w:hAnsi="Verdana" w:cs="Times New Roman"/>
          <w:color w:val="444444"/>
          <w:sz w:val="18"/>
          <w:szCs w:val="18"/>
          <w:lang w:val="en" w:eastAsia="lv-LV"/>
        </w:rPr>
        <w:t>Pilott, B. 2008. ‘Key’s ‘Razor Gang’ Will Cut Services.’ New Zealand Herald (online version), 21 October.</w:t>
      </w:r>
      <w:r w:rsidRPr="00405C96">
        <w:rPr>
          <w:rFonts w:ascii="Verdana" w:eastAsia="Times New Roman" w:hAnsi="Verdana" w:cs="Times New Roman"/>
          <w:color w:val="444444"/>
          <w:sz w:val="18"/>
          <w:szCs w:val="18"/>
          <w:lang w:val="en" w:eastAsia="lv-LV"/>
        </w:rPr>
        <w:br/>
      </w:r>
      <w:hyperlink r:id="rId38" w:history="1">
        <w:r w:rsidRPr="00405C96">
          <w:rPr>
            <w:rFonts w:ascii="Verdana" w:eastAsia="Times New Roman" w:hAnsi="Verdana" w:cs="Times New Roman"/>
            <w:color w:val="0198DA"/>
            <w:sz w:val="18"/>
            <w:szCs w:val="18"/>
            <w:lang w:val="en" w:eastAsia="lv-LV"/>
          </w:rPr>
          <w:t>http://www.nzherald.co.nz/nz-election-2008/news/article.cfm?c_id=1501799&amp;objectid=10538512&amp;pnum=0</w:t>
        </w:r>
      </w:hyperlink>
      <w:r w:rsidRPr="00405C96">
        <w:rPr>
          <w:rFonts w:ascii="Verdana" w:eastAsia="Times New Roman" w:hAnsi="Verdana" w:cs="Times New Roman"/>
          <w:color w:val="444444"/>
          <w:sz w:val="18"/>
          <w:szCs w:val="18"/>
          <w:lang w:val="en" w:eastAsia="lv-LV"/>
        </w:rPr>
        <w:br/>
        <w:t>accessed on 22 October 2008.</w:t>
      </w:r>
    </w:p>
    <w:p w14:paraId="46E51167" w14:textId="77777777" w:rsidR="00405C96" w:rsidRPr="00405C96" w:rsidRDefault="00405C96" w:rsidP="00405C96">
      <w:pPr>
        <w:shd w:val="clear" w:color="auto" w:fill="FFFFFF"/>
        <w:spacing w:before="100" w:beforeAutospacing="1" w:after="100" w:afterAutospacing="1" w:line="360" w:lineRule="atLeast"/>
        <w:textAlignment w:val="top"/>
        <w:rPr>
          <w:rFonts w:ascii="Verdana" w:eastAsia="Times New Roman" w:hAnsi="Verdana" w:cs="Times New Roman"/>
          <w:color w:val="444444"/>
          <w:sz w:val="18"/>
          <w:szCs w:val="18"/>
          <w:lang w:val="en" w:eastAsia="lv-LV"/>
        </w:rPr>
      </w:pPr>
      <w:r w:rsidRPr="00405C96">
        <w:rPr>
          <w:rFonts w:ascii="Verdana" w:eastAsia="Times New Roman" w:hAnsi="Verdana" w:cs="Times New Roman"/>
          <w:color w:val="444444"/>
          <w:sz w:val="18"/>
          <w:szCs w:val="18"/>
          <w:lang w:val="en" w:eastAsia="lv-LV"/>
        </w:rPr>
        <w:t xml:space="preserve">Pollitt, C. and G. Bouckaert 2004. Public Management Reform: A Comparative Analysis (2nd </w:t>
      </w:r>
      <w:proofErr w:type="gramStart"/>
      <w:r w:rsidRPr="00405C96">
        <w:rPr>
          <w:rFonts w:ascii="Verdana" w:eastAsia="Times New Roman" w:hAnsi="Verdana" w:cs="Times New Roman"/>
          <w:color w:val="444444"/>
          <w:sz w:val="18"/>
          <w:szCs w:val="18"/>
          <w:lang w:val="en" w:eastAsia="lv-LV"/>
        </w:rPr>
        <w:t>ed</w:t>
      </w:r>
      <w:proofErr w:type="gramEnd"/>
      <w:r w:rsidRPr="00405C96">
        <w:rPr>
          <w:rFonts w:ascii="Verdana" w:eastAsia="Times New Roman" w:hAnsi="Verdana" w:cs="Times New Roman"/>
          <w:color w:val="444444"/>
          <w:sz w:val="18"/>
          <w:szCs w:val="18"/>
          <w:lang w:val="en" w:eastAsia="lv-LV"/>
        </w:rPr>
        <w:t>.). Oxford: Oxford University Press.</w:t>
      </w:r>
    </w:p>
    <w:p w14:paraId="5CD98252" w14:textId="77777777" w:rsidR="00405C96" w:rsidRPr="00405C96" w:rsidRDefault="00405C96" w:rsidP="00405C96">
      <w:pPr>
        <w:shd w:val="clear" w:color="auto" w:fill="FFFFFF"/>
        <w:spacing w:before="100" w:beforeAutospacing="1" w:after="100" w:afterAutospacing="1" w:line="360" w:lineRule="atLeast"/>
        <w:textAlignment w:val="top"/>
        <w:rPr>
          <w:rFonts w:ascii="Verdana" w:eastAsia="Times New Roman" w:hAnsi="Verdana" w:cs="Times New Roman"/>
          <w:color w:val="444444"/>
          <w:sz w:val="18"/>
          <w:szCs w:val="18"/>
          <w:lang w:val="en" w:eastAsia="lv-LV"/>
        </w:rPr>
      </w:pPr>
      <w:r w:rsidRPr="00405C96">
        <w:rPr>
          <w:rFonts w:ascii="Verdana" w:eastAsia="Times New Roman" w:hAnsi="Verdana" w:cs="Times New Roman"/>
          <w:color w:val="444444"/>
          <w:sz w:val="18"/>
          <w:szCs w:val="18"/>
          <w:lang w:val="en" w:eastAsia="lv-LV"/>
        </w:rPr>
        <w:t>Pomeroy, A. 2007. ‘Changing the Culture of Contracting: Funding For Outcomes.’ Social Policy Journal of New Zealand 31:158–169.</w:t>
      </w:r>
    </w:p>
    <w:p w14:paraId="1F695ED4" w14:textId="77777777" w:rsidR="00405C96" w:rsidRPr="00405C96" w:rsidRDefault="00405C96" w:rsidP="00405C96">
      <w:pPr>
        <w:shd w:val="clear" w:color="auto" w:fill="FFFFFF"/>
        <w:spacing w:before="100" w:beforeAutospacing="1" w:after="100" w:afterAutospacing="1" w:line="360" w:lineRule="atLeast"/>
        <w:textAlignment w:val="top"/>
        <w:rPr>
          <w:rFonts w:ascii="Verdana" w:eastAsia="Times New Roman" w:hAnsi="Verdana" w:cs="Times New Roman"/>
          <w:color w:val="444444"/>
          <w:sz w:val="18"/>
          <w:szCs w:val="18"/>
          <w:lang w:val="en" w:eastAsia="lv-LV"/>
        </w:rPr>
      </w:pPr>
      <w:r w:rsidRPr="00405C96">
        <w:rPr>
          <w:rFonts w:ascii="Verdana" w:eastAsia="Times New Roman" w:hAnsi="Verdana" w:cs="Times New Roman"/>
          <w:color w:val="444444"/>
          <w:sz w:val="18"/>
          <w:szCs w:val="18"/>
          <w:lang w:val="en" w:eastAsia="lv-LV"/>
        </w:rPr>
        <w:t>Schick, A. 1996. The Spirit of Reform: Managing the New Zealand State Sector in a Time of Change. Wellington: State Services Commission.</w:t>
      </w:r>
    </w:p>
    <w:p w14:paraId="2867B918" w14:textId="77777777" w:rsidR="00405C96" w:rsidRPr="00405C96" w:rsidRDefault="00405C96" w:rsidP="00405C96">
      <w:pPr>
        <w:shd w:val="clear" w:color="auto" w:fill="FFFFFF"/>
        <w:spacing w:before="100" w:beforeAutospacing="1" w:after="100" w:afterAutospacing="1" w:line="360" w:lineRule="atLeast"/>
        <w:textAlignment w:val="top"/>
        <w:rPr>
          <w:rFonts w:ascii="Verdana" w:eastAsia="Times New Roman" w:hAnsi="Verdana" w:cs="Times New Roman"/>
          <w:color w:val="444444"/>
          <w:sz w:val="18"/>
          <w:szCs w:val="18"/>
          <w:lang w:val="en" w:eastAsia="lv-LV"/>
        </w:rPr>
      </w:pPr>
      <w:r w:rsidRPr="00405C96">
        <w:rPr>
          <w:rFonts w:ascii="Verdana" w:eastAsia="Times New Roman" w:hAnsi="Verdana" w:cs="Times New Roman"/>
          <w:color w:val="444444"/>
          <w:sz w:val="18"/>
          <w:szCs w:val="18"/>
          <w:lang w:val="en" w:eastAsia="lv-LV"/>
        </w:rPr>
        <w:t>Stace, H. and J. Cumming 2006. ‘Contracting Between Government and the Voluntary Sector: Where To From Here?’ Policy Quarterly 2(4):13–20.</w:t>
      </w:r>
    </w:p>
    <w:p w14:paraId="2E348B89" w14:textId="77777777" w:rsidR="00405C96" w:rsidRPr="00405C96" w:rsidRDefault="00405C96" w:rsidP="00405C96">
      <w:pPr>
        <w:shd w:val="clear" w:color="auto" w:fill="FFFFFF"/>
        <w:spacing w:before="100" w:beforeAutospacing="1" w:after="100" w:afterAutospacing="1" w:line="360" w:lineRule="atLeast"/>
        <w:textAlignment w:val="top"/>
        <w:rPr>
          <w:rFonts w:ascii="Verdana" w:eastAsia="Times New Roman" w:hAnsi="Verdana" w:cs="Times New Roman"/>
          <w:color w:val="444444"/>
          <w:sz w:val="18"/>
          <w:szCs w:val="18"/>
          <w:lang w:val="en" w:eastAsia="lv-LV"/>
        </w:rPr>
      </w:pPr>
      <w:r w:rsidRPr="00405C96">
        <w:rPr>
          <w:rFonts w:ascii="Verdana" w:eastAsia="Times New Roman" w:hAnsi="Verdana" w:cs="Times New Roman"/>
          <w:color w:val="444444"/>
          <w:sz w:val="18"/>
          <w:szCs w:val="18"/>
          <w:lang w:val="en" w:eastAsia="lv-LV"/>
        </w:rPr>
        <w:t>State Services Commission 2007. State Services Commissioner’s Report on Public Service Recruitment and Employment of Ms Madeline Setchell. Wellington: SSC.</w:t>
      </w:r>
      <w:r w:rsidRPr="00405C96">
        <w:rPr>
          <w:rFonts w:ascii="Verdana" w:eastAsia="Times New Roman" w:hAnsi="Verdana" w:cs="Times New Roman"/>
          <w:color w:val="444444"/>
          <w:sz w:val="18"/>
          <w:szCs w:val="18"/>
          <w:lang w:val="en" w:eastAsia="lv-LV"/>
        </w:rPr>
        <w:br/>
      </w:r>
      <w:hyperlink r:id="rId39" w:history="1">
        <w:r w:rsidRPr="00405C96">
          <w:rPr>
            <w:rFonts w:ascii="Verdana" w:eastAsia="Times New Roman" w:hAnsi="Verdana" w:cs="Times New Roman"/>
            <w:color w:val="0198DA"/>
            <w:sz w:val="18"/>
            <w:szCs w:val="18"/>
            <w:lang w:val="en" w:eastAsia="lv-LV"/>
          </w:rPr>
          <w:t>www.ssc.govt.nz/upload/downloadable_files/Report-SSCer-Setchell.pdf</w:t>
        </w:r>
      </w:hyperlink>
      <w:r w:rsidRPr="00405C96">
        <w:rPr>
          <w:rFonts w:ascii="Verdana" w:eastAsia="Times New Roman" w:hAnsi="Verdana" w:cs="Times New Roman"/>
          <w:color w:val="444444"/>
          <w:sz w:val="18"/>
          <w:szCs w:val="18"/>
          <w:lang w:val="en" w:eastAsia="lv-LV"/>
        </w:rPr>
        <w:t xml:space="preserve">   accessed on 2 December 2008</w:t>
      </w:r>
    </w:p>
    <w:p w14:paraId="30D9DAFD" w14:textId="77777777" w:rsidR="00405C96" w:rsidRPr="00405C96" w:rsidRDefault="00405C96" w:rsidP="00405C96">
      <w:pPr>
        <w:shd w:val="clear" w:color="auto" w:fill="FFFFFF"/>
        <w:spacing w:before="100" w:beforeAutospacing="1" w:after="100" w:afterAutospacing="1" w:line="360" w:lineRule="atLeast"/>
        <w:textAlignment w:val="top"/>
        <w:rPr>
          <w:rFonts w:ascii="Verdana" w:eastAsia="Times New Roman" w:hAnsi="Verdana" w:cs="Times New Roman"/>
          <w:color w:val="444444"/>
          <w:sz w:val="18"/>
          <w:szCs w:val="18"/>
          <w:lang w:val="en" w:eastAsia="lv-LV"/>
        </w:rPr>
      </w:pPr>
      <w:r w:rsidRPr="00405C96">
        <w:rPr>
          <w:rFonts w:ascii="Verdana" w:eastAsia="Times New Roman" w:hAnsi="Verdana" w:cs="Times New Roman"/>
          <w:color w:val="444444"/>
          <w:sz w:val="18"/>
          <w:szCs w:val="18"/>
          <w:lang w:val="en" w:eastAsia="lv-LV"/>
        </w:rPr>
        <w:t>State Services Commission 2008a. Development Goals for the State Services. Wellington: SSC.</w:t>
      </w:r>
      <w:r w:rsidRPr="00405C96">
        <w:rPr>
          <w:rFonts w:ascii="Verdana" w:eastAsia="Times New Roman" w:hAnsi="Verdana" w:cs="Times New Roman"/>
          <w:color w:val="444444"/>
          <w:sz w:val="18"/>
          <w:szCs w:val="18"/>
          <w:lang w:val="en" w:eastAsia="lv-LV"/>
        </w:rPr>
        <w:br/>
      </w:r>
      <w:hyperlink r:id="rId40" w:history="1">
        <w:r w:rsidRPr="00405C96">
          <w:rPr>
            <w:rFonts w:ascii="Verdana" w:eastAsia="Times New Roman" w:hAnsi="Verdana" w:cs="Times New Roman"/>
            <w:color w:val="0198DA"/>
            <w:sz w:val="18"/>
            <w:szCs w:val="18"/>
            <w:lang w:val="en" w:eastAsia="lv-LV"/>
          </w:rPr>
          <w:t>http://www.ssc.govt.nz/display/document.asp?DocID=6545</w:t>
        </w:r>
      </w:hyperlink>
      <w:r w:rsidRPr="00405C96">
        <w:rPr>
          <w:rFonts w:ascii="Verdana" w:eastAsia="Times New Roman" w:hAnsi="Verdana" w:cs="Times New Roman"/>
          <w:color w:val="444444"/>
          <w:sz w:val="18"/>
          <w:szCs w:val="18"/>
          <w:lang w:val="en" w:eastAsia="lv-LV"/>
        </w:rPr>
        <w:t xml:space="preserve"> accessed on 1 December 2008.</w:t>
      </w:r>
      <w:bookmarkStart w:id="0" w:name="_GoBack"/>
      <w:bookmarkEnd w:id="0"/>
    </w:p>
    <w:p w14:paraId="30B2FC0B" w14:textId="77777777" w:rsidR="00405C96" w:rsidRPr="00405C96" w:rsidRDefault="00405C96" w:rsidP="00405C96">
      <w:pPr>
        <w:shd w:val="clear" w:color="auto" w:fill="FFFFFF"/>
        <w:spacing w:before="100" w:beforeAutospacing="1" w:after="100" w:afterAutospacing="1" w:line="360" w:lineRule="atLeast"/>
        <w:textAlignment w:val="top"/>
        <w:rPr>
          <w:rFonts w:ascii="Verdana" w:eastAsia="Times New Roman" w:hAnsi="Verdana" w:cs="Times New Roman"/>
          <w:color w:val="444444"/>
          <w:sz w:val="18"/>
          <w:szCs w:val="18"/>
          <w:lang w:val="en" w:eastAsia="lv-LV"/>
        </w:rPr>
      </w:pPr>
      <w:r w:rsidRPr="00405C96">
        <w:rPr>
          <w:rFonts w:ascii="Verdana" w:eastAsia="Times New Roman" w:hAnsi="Verdana" w:cs="Times New Roman"/>
          <w:color w:val="444444"/>
          <w:sz w:val="18"/>
          <w:szCs w:val="18"/>
          <w:lang w:val="en" w:eastAsia="lv-LV"/>
        </w:rPr>
        <w:t>State Services Commission 2008b. Factors for Successful Coordination. Wellington: SSC.</w:t>
      </w:r>
    </w:p>
    <w:p w14:paraId="5D7C0D8F" w14:textId="77777777" w:rsidR="00405C96" w:rsidRPr="00405C96" w:rsidRDefault="00405C96" w:rsidP="00405C96">
      <w:pPr>
        <w:shd w:val="clear" w:color="auto" w:fill="FFFFFF"/>
        <w:spacing w:before="100" w:beforeAutospacing="1" w:after="100" w:afterAutospacing="1" w:line="360" w:lineRule="atLeast"/>
        <w:textAlignment w:val="top"/>
        <w:rPr>
          <w:rFonts w:ascii="Verdana" w:eastAsia="Times New Roman" w:hAnsi="Verdana" w:cs="Times New Roman"/>
          <w:color w:val="444444"/>
          <w:sz w:val="18"/>
          <w:szCs w:val="18"/>
          <w:lang w:val="en" w:eastAsia="lv-LV"/>
        </w:rPr>
      </w:pPr>
      <w:r w:rsidRPr="00405C96">
        <w:rPr>
          <w:rFonts w:ascii="Verdana" w:eastAsia="Times New Roman" w:hAnsi="Verdana" w:cs="Times New Roman"/>
          <w:color w:val="444444"/>
          <w:sz w:val="18"/>
          <w:szCs w:val="18"/>
          <w:lang w:val="en" w:eastAsia="lv-LV"/>
        </w:rPr>
        <w:t>The Treasury 1987. Government Management: Briefing to the Incoming Government Vol. 1. Wellington: The Treasury.</w:t>
      </w:r>
    </w:p>
    <w:p w14:paraId="7B20FF70" w14:textId="77777777" w:rsidR="00405C96" w:rsidRPr="00405C96" w:rsidRDefault="00405C96" w:rsidP="00405C96">
      <w:pPr>
        <w:shd w:val="clear" w:color="auto" w:fill="FFFFFF"/>
        <w:spacing w:before="100" w:beforeAutospacing="1" w:after="100" w:afterAutospacing="1" w:line="360" w:lineRule="atLeast"/>
        <w:textAlignment w:val="top"/>
        <w:rPr>
          <w:rFonts w:ascii="Verdana" w:eastAsia="Times New Roman" w:hAnsi="Verdana" w:cs="Times New Roman"/>
          <w:color w:val="444444"/>
          <w:sz w:val="18"/>
          <w:szCs w:val="18"/>
          <w:lang w:val="en" w:eastAsia="lv-LV"/>
        </w:rPr>
      </w:pPr>
      <w:r w:rsidRPr="00405C96">
        <w:rPr>
          <w:rFonts w:ascii="Verdana" w:eastAsia="Times New Roman" w:hAnsi="Verdana" w:cs="Times New Roman"/>
          <w:color w:val="444444"/>
          <w:sz w:val="18"/>
          <w:szCs w:val="18"/>
          <w:lang w:val="en" w:eastAsia="lv-LV"/>
        </w:rPr>
        <w:t>The Treasury 2007. Budget Process: Overview for Departments and Ministerial Offices 2008. Wellington: The Treasury. </w:t>
      </w:r>
      <w:hyperlink r:id="rId41" w:history="1">
        <w:r w:rsidRPr="00405C96">
          <w:rPr>
            <w:rFonts w:ascii="Verdana" w:eastAsia="Times New Roman" w:hAnsi="Verdana" w:cs="Times New Roman"/>
            <w:color w:val="0198DA"/>
            <w:sz w:val="18"/>
            <w:szCs w:val="18"/>
            <w:lang w:val="en" w:eastAsia="lv-LV"/>
          </w:rPr>
          <w:t xml:space="preserve">http://www.treasury.govt.nz/publications/guidance/budget/process/overview/bud-proc-overview08.pdf </w:t>
        </w:r>
      </w:hyperlink>
      <w:r w:rsidRPr="00405C96">
        <w:rPr>
          <w:rFonts w:ascii="Verdana" w:eastAsia="Times New Roman" w:hAnsi="Verdana" w:cs="Times New Roman"/>
          <w:color w:val="444444"/>
          <w:sz w:val="18"/>
          <w:szCs w:val="18"/>
          <w:lang w:val="en" w:eastAsia="lv-LV"/>
        </w:rPr>
        <w:t>accessed on 10 December 2008.</w:t>
      </w:r>
    </w:p>
    <w:p w14:paraId="3BF45962" w14:textId="77777777" w:rsidR="00405C96" w:rsidRPr="00405C96" w:rsidRDefault="00405C96" w:rsidP="00405C96">
      <w:pPr>
        <w:shd w:val="clear" w:color="auto" w:fill="FFFFFF"/>
        <w:spacing w:before="100" w:beforeAutospacing="1" w:after="100" w:afterAutospacing="1" w:line="360" w:lineRule="atLeast"/>
        <w:textAlignment w:val="top"/>
        <w:rPr>
          <w:rFonts w:ascii="Verdana" w:eastAsia="Times New Roman" w:hAnsi="Verdana" w:cs="Times New Roman"/>
          <w:color w:val="444444"/>
          <w:sz w:val="18"/>
          <w:szCs w:val="18"/>
          <w:lang w:val="en" w:eastAsia="lv-LV"/>
        </w:rPr>
      </w:pPr>
      <w:r w:rsidRPr="00405C96">
        <w:rPr>
          <w:rFonts w:ascii="Verdana" w:eastAsia="Times New Roman" w:hAnsi="Verdana" w:cs="Times New Roman"/>
          <w:color w:val="444444"/>
          <w:sz w:val="18"/>
          <w:szCs w:val="18"/>
          <w:lang w:val="en" w:eastAsia="lv-LV"/>
        </w:rPr>
        <w:t>Waring, M. 2005. Ministerial Review of Progress in Implementing 2001 Cabinet Recommendations Establishing NZAID. Wellington: NZAID</w:t>
      </w:r>
    </w:p>
    <w:p w14:paraId="2815DB72" w14:textId="77777777" w:rsidR="00405C96" w:rsidRPr="00405C96" w:rsidRDefault="00405C96" w:rsidP="00405C96">
      <w:pPr>
        <w:spacing w:before="100" w:beforeAutospacing="1" w:after="100" w:afterAutospacing="1" w:line="360" w:lineRule="atLeast"/>
        <w:jc w:val="center"/>
        <w:rPr>
          <w:rFonts w:ascii="Verdana" w:eastAsia="Times New Roman" w:hAnsi="Verdana" w:cs="Times New Roman"/>
          <w:color w:val="0099D7"/>
          <w:sz w:val="18"/>
          <w:szCs w:val="18"/>
          <w:lang w:val="en" w:eastAsia="lv-LV"/>
        </w:rPr>
      </w:pPr>
      <w:r w:rsidRPr="00405C96">
        <w:rPr>
          <w:rFonts w:ascii="Verdana" w:eastAsia="Times New Roman" w:hAnsi="Verdana" w:cs="Times New Roman"/>
          <w:b/>
          <w:bCs/>
          <w:color w:val="0099D7"/>
          <w:sz w:val="18"/>
          <w:szCs w:val="18"/>
          <w:lang w:val="en" w:eastAsia="lv-LV"/>
        </w:rPr>
        <w:t xml:space="preserve">Physical Address </w:t>
      </w:r>
      <w:r w:rsidRPr="00405C96">
        <w:rPr>
          <w:rFonts w:ascii="Verdana" w:eastAsia="Times New Roman" w:hAnsi="Verdana" w:cs="Times New Roman"/>
          <w:color w:val="0099D7"/>
          <w:sz w:val="18"/>
          <w:szCs w:val="18"/>
          <w:lang w:val="en" w:eastAsia="lv-LV"/>
        </w:rPr>
        <w:t xml:space="preserve">51 Apollo Drive, North Harbour, Auckland | </w:t>
      </w:r>
      <w:r w:rsidRPr="00405C96">
        <w:rPr>
          <w:rFonts w:ascii="Verdana" w:eastAsia="Times New Roman" w:hAnsi="Verdana" w:cs="Times New Roman"/>
          <w:b/>
          <w:bCs/>
          <w:color w:val="0099D7"/>
          <w:sz w:val="18"/>
          <w:szCs w:val="18"/>
          <w:lang w:val="en" w:eastAsia="lv-LV"/>
        </w:rPr>
        <w:t>Phone</w:t>
      </w:r>
      <w:r w:rsidRPr="00405C96">
        <w:rPr>
          <w:rFonts w:ascii="Verdana" w:eastAsia="Times New Roman" w:hAnsi="Verdana" w:cs="Times New Roman"/>
          <w:color w:val="0099D7"/>
          <w:sz w:val="18"/>
          <w:szCs w:val="18"/>
          <w:lang w:val="en" w:eastAsia="lv-LV"/>
        </w:rPr>
        <w:t xml:space="preserve"> (09) 912 3616 | </w:t>
      </w:r>
      <w:r w:rsidRPr="00405C96">
        <w:rPr>
          <w:rFonts w:ascii="Verdana" w:eastAsia="Times New Roman" w:hAnsi="Verdana" w:cs="Times New Roman"/>
          <w:b/>
          <w:bCs/>
          <w:color w:val="0099D7"/>
          <w:sz w:val="18"/>
          <w:szCs w:val="18"/>
          <w:lang w:val="en" w:eastAsia="lv-LV"/>
        </w:rPr>
        <w:t>Fax</w:t>
      </w:r>
      <w:r w:rsidRPr="00405C96">
        <w:rPr>
          <w:rFonts w:ascii="Verdana" w:eastAsia="Times New Roman" w:hAnsi="Verdana" w:cs="Times New Roman"/>
          <w:color w:val="0099D7"/>
          <w:sz w:val="18"/>
          <w:szCs w:val="18"/>
          <w:lang w:val="en" w:eastAsia="lv-LV"/>
        </w:rPr>
        <w:t xml:space="preserve"> (09) 912 3617.</w:t>
      </w:r>
      <w:r w:rsidRPr="00405C96">
        <w:rPr>
          <w:rFonts w:ascii="Verdana" w:eastAsia="Times New Roman" w:hAnsi="Verdana" w:cs="Times New Roman"/>
          <w:color w:val="0099D7"/>
          <w:sz w:val="18"/>
          <w:szCs w:val="18"/>
          <w:lang w:val="en" w:eastAsia="lv-LV"/>
        </w:rPr>
        <w:br/>
        <w:t>Copyright © 2013 Conferenz Ltd</w:t>
      </w:r>
    </w:p>
    <w:p w14:paraId="69906BE5" w14:textId="77777777" w:rsidR="00E56D19" w:rsidRDefault="00405C96" w:rsidP="00405C96">
      <w:r w:rsidRPr="00405C96">
        <w:rPr>
          <w:rFonts w:ascii="Verdana" w:eastAsia="Times New Roman" w:hAnsi="Verdana" w:cs="Times New Roman"/>
          <w:color w:val="0099D7"/>
          <w:sz w:val="18"/>
          <w:szCs w:val="18"/>
          <w:lang w:val="en" w:eastAsia="lv-LV"/>
        </w:rPr>
        <w:pict w14:anchorId="1AC96B5D"/>
      </w:r>
      <w:r w:rsidRPr="00405C96">
        <w:rPr>
          <w:rFonts w:ascii="Verdana" w:eastAsia="Times New Roman" w:hAnsi="Verdana" w:cs="Times New Roman"/>
          <w:sz w:val="18"/>
          <w:szCs w:val="18"/>
          <w:lang w:val="en" w:eastAsia="lv-LV"/>
        </w:rPr>
        <w:t>&lt;p&gt;&lt;img src="/statistics/piwik.php?idsite=1" style="border</w:t>
      </w:r>
      <w:proofErr w:type="gramStart"/>
      <w:r w:rsidRPr="00405C96">
        <w:rPr>
          <w:rFonts w:ascii="Verdana" w:eastAsia="Times New Roman" w:hAnsi="Verdana" w:cs="Times New Roman"/>
          <w:sz w:val="18"/>
          <w:szCs w:val="18"/>
          <w:lang w:val="en" w:eastAsia="lv-LV"/>
        </w:rPr>
        <w:t>:0</w:t>
      </w:r>
      <w:proofErr w:type="gramEnd"/>
      <w:r w:rsidRPr="00405C96">
        <w:rPr>
          <w:rFonts w:ascii="Verdana" w:eastAsia="Times New Roman" w:hAnsi="Verdana" w:cs="Times New Roman"/>
          <w:sz w:val="18"/>
          <w:szCs w:val="18"/>
          <w:lang w:val="en" w:eastAsia="lv-LV"/>
        </w:rPr>
        <w:t xml:space="preserve">" alt=""/&gt;&lt;/p&gt; </w:t>
      </w:r>
      <w:r w:rsidRPr="00405C96">
        <w:rPr>
          <w:rFonts w:ascii="Verdana" w:eastAsia="Times New Roman" w:hAnsi="Verdana" w:cs="Times New Roman"/>
          <w:sz w:val="18"/>
          <w:szCs w:val="18"/>
          <w:lang w:val="en" w:eastAsia="lv-LV"/>
        </w:rPr>
        <w:pict w14:anchorId="3C288B1A"/>
      </w:r>
      <w:r w:rsidRPr="00405C96">
        <w:rPr>
          <w:rFonts w:ascii="Verdana" w:eastAsia="Times New Roman" w:hAnsi="Verdana" w:cs="Times New Roman"/>
          <w:sz w:val="18"/>
          <w:szCs w:val="18"/>
          <w:lang w:val="en" w:eastAsia="lv-LV"/>
        </w:rPr>
        <w:t>&lt;div style="display:inline;"&gt; &lt;img height="1" width="1" style="border-style:none;" alt="" src="https://www.googleadservices.com/pagead/conversion/1044572564/?label=mSqaCPiOrQIQlNOL8gM&amp;amp;guid=ON&amp;amp;script=0"/&gt; &lt;/div&gt;</w:t>
      </w:r>
    </w:p>
    <w:sectPr w:rsidR="00E56D1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Helvetica">
    <w:panose1 w:val="020B0604020202020204"/>
    <w:charset w:val="BA"/>
    <w:family w:val="swiss"/>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B417D"/>
    <w:multiLevelType w:val="multilevel"/>
    <w:tmpl w:val="38AEC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F041F2"/>
    <w:multiLevelType w:val="multilevel"/>
    <w:tmpl w:val="262E1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F802AE"/>
    <w:multiLevelType w:val="multilevel"/>
    <w:tmpl w:val="F2B48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DB5286"/>
    <w:multiLevelType w:val="multilevel"/>
    <w:tmpl w:val="2FF88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D62739"/>
    <w:multiLevelType w:val="multilevel"/>
    <w:tmpl w:val="CFC07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183EB3"/>
    <w:multiLevelType w:val="multilevel"/>
    <w:tmpl w:val="25D82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D714B1"/>
    <w:multiLevelType w:val="multilevel"/>
    <w:tmpl w:val="FF0C0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39657C"/>
    <w:multiLevelType w:val="multilevel"/>
    <w:tmpl w:val="2D3A5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1A1EDB"/>
    <w:multiLevelType w:val="multilevel"/>
    <w:tmpl w:val="E034E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AE349E"/>
    <w:multiLevelType w:val="multilevel"/>
    <w:tmpl w:val="9B14B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F455DD6"/>
    <w:multiLevelType w:val="multilevel"/>
    <w:tmpl w:val="3E640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8"/>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5">
    <w:abstractNumId w:val="8"/>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6">
    <w:abstractNumId w:val="8"/>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7">
    <w:abstractNumId w:val="8"/>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8">
    <w:abstractNumId w:val="9"/>
  </w:num>
  <w:num w:numId="9">
    <w:abstractNumId w:val="0"/>
  </w:num>
  <w:num w:numId="10">
    <w:abstractNumId w:val="1"/>
  </w:num>
  <w:num w:numId="11">
    <w:abstractNumId w:val="4"/>
  </w:num>
  <w:num w:numId="12">
    <w:abstractNumId w:val="7"/>
  </w:num>
  <w:num w:numId="13">
    <w:abstractNumId w:val="3"/>
  </w:num>
  <w:num w:numId="14">
    <w:abstractNumId w:val="10"/>
  </w:num>
  <w:num w:numId="15">
    <w:abstractNumId w:val="6"/>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C96"/>
    <w:rsid w:val="00405C96"/>
    <w:rsid w:val="00E56D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DFA94"/>
  <w15:chartTrackingRefBased/>
  <w15:docId w15:val="{E68F48E0-13AA-4F1D-9A6D-4F231D6C1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05C96"/>
    <w:pPr>
      <w:spacing w:before="150" w:after="225" w:line="312" w:lineRule="atLeast"/>
      <w:outlineLvl w:val="0"/>
    </w:pPr>
    <w:rPr>
      <w:rFonts w:ascii="Helvetica" w:eastAsia="Times New Roman" w:hAnsi="Helvetica" w:cs="Helvetica"/>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5C96"/>
    <w:rPr>
      <w:rFonts w:ascii="Helvetica" w:eastAsia="Times New Roman" w:hAnsi="Helvetica" w:cs="Helvetica"/>
      <w:b/>
      <w:bCs/>
      <w:kern w:val="36"/>
      <w:sz w:val="48"/>
      <w:szCs w:val="48"/>
      <w:lang w:eastAsia="lv-LV"/>
    </w:rPr>
  </w:style>
  <w:style w:type="character" w:styleId="Strong">
    <w:name w:val="Strong"/>
    <w:basedOn w:val="DefaultParagraphFont"/>
    <w:uiPriority w:val="22"/>
    <w:qFormat/>
    <w:rsid w:val="00405C96"/>
    <w:rPr>
      <w:b/>
      <w:bCs/>
    </w:rPr>
  </w:style>
  <w:style w:type="paragraph" w:styleId="NormalWeb">
    <w:name w:val="Normal (Web)"/>
    <w:basedOn w:val="Normal"/>
    <w:uiPriority w:val="99"/>
    <w:semiHidden/>
    <w:unhideWhenUsed/>
    <w:rsid w:val="00405C96"/>
    <w:pPr>
      <w:spacing w:before="100" w:beforeAutospacing="1" w:after="100" w:afterAutospacing="1" w:line="360" w:lineRule="atLeast"/>
    </w:pPr>
    <w:rPr>
      <w:rFonts w:ascii="Times New Roman" w:eastAsia="Times New Roman" w:hAnsi="Times New Roman" w:cs="Times New Roman"/>
      <w:sz w:val="24"/>
      <w:szCs w:val="24"/>
      <w:lang w:eastAsia="lv-LV"/>
    </w:rPr>
  </w:style>
  <w:style w:type="paragraph" w:styleId="z-TopofForm">
    <w:name w:val="HTML Top of Form"/>
    <w:basedOn w:val="Normal"/>
    <w:next w:val="Normal"/>
    <w:link w:val="z-TopofFormChar"/>
    <w:hidden/>
    <w:uiPriority w:val="99"/>
    <w:semiHidden/>
    <w:unhideWhenUsed/>
    <w:rsid w:val="00405C96"/>
    <w:pPr>
      <w:pBdr>
        <w:bottom w:val="single" w:sz="6" w:space="1" w:color="auto"/>
      </w:pBdr>
      <w:spacing w:after="0" w:line="240" w:lineRule="auto"/>
      <w:jc w:val="center"/>
    </w:pPr>
    <w:rPr>
      <w:rFonts w:ascii="Arial" w:eastAsia="Times New Roman" w:hAnsi="Arial" w:cs="Arial"/>
      <w:vanish/>
      <w:sz w:val="16"/>
      <w:szCs w:val="16"/>
      <w:lang w:eastAsia="lv-LV"/>
    </w:rPr>
  </w:style>
  <w:style w:type="character" w:customStyle="1" w:styleId="z-TopofFormChar">
    <w:name w:val="z-Top of Form Char"/>
    <w:basedOn w:val="DefaultParagraphFont"/>
    <w:link w:val="z-TopofForm"/>
    <w:uiPriority w:val="99"/>
    <w:semiHidden/>
    <w:rsid w:val="00405C96"/>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semiHidden/>
    <w:unhideWhenUsed/>
    <w:rsid w:val="00405C96"/>
    <w:pPr>
      <w:pBdr>
        <w:top w:val="single" w:sz="6" w:space="1" w:color="auto"/>
      </w:pBdr>
      <w:spacing w:after="0" w:line="240" w:lineRule="auto"/>
      <w:jc w:val="center"/>
    </w:pPr>
    <w:rPr>
      <w:rFonts w:ascii="Arial" w:eastAsia="Times New Roman" w:hAnsi="Arial" w:cs="Arial"/>
      <w:vanish/>
      <w:sz w:val="16"/>
      <w:szCs w:val="16"/>
      <w:lang w:eastAsia="lv-LV"/>
    </w:rPr>
  </w:style>
  <w:style w:type="character" w:customStyle="1" w:styleId="z-BottomofFormChar">
    <w:name w:val="z-Bottom of Form Char"/>
    <w:basedOn w:val="DefaultParagraphFont"/>
    <w:link w:val="z-BottomofForm"/>
    <w:uiPriority w:val="99"/>
    <w:semiHidden/>
    <w:rsid w:val="00405C96"/>
    <w:rPr>
      <w:rFonts w:ascii="Arial" w:eastAsia="Times New Roman" w:hAnsi="Arial" w:cs="Arial"/>
      <w:vanish/>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871639">
      <w:bodyDiv w:val="1"/>
      <w:marLeft w:val="0"/>
      <w:marRight w:val="0"/>
      <w:marTop w:val="0"/>
      <w:marBottom w:val="0"/>
      <w:divBdr>
        <w:top w:val="none" w:sz="0" w:space="0" w:color="auto"/>
        <w:left w:val="none" w:sz="0" w:space="0" w:color="auto"/>
        <w:bottom w:val="none" w:sz="0" w:space="0" w:color="auto"/>
        <w:right w:val="none" w:sz="0" w:space="0" w:color="auto"/>
      </w:divBdr>
      <w:divsChild>
        <w:div w:id="2147164495">
          <w:marLeft w:val="0"/>
          <w:marRight w:val="0"/>
          <w:marTop w:val="0"/>
          <w:marBottom w:val="0"/>
          <w:divBdr>
            <w:top w:val="none" w:sz="0" w:space="0" w:color="auto"/>
            <w:left w:val="none" w:sz="0" w:space="0" w:color="auto"/>
            <w:bottom w:val="none" w:sz="0" w:space="0" w:color="auto"/>
            <w:right w:val="none" w:sz="0" w:space="0" w:color="auto"/>
          </w:divBdr>
          <w:divsChild>
            <w:div w:id="619845767">
              <w:marLeft w:val="0"/>
              <w:marRight w:val="0"/>
              <w:marTop w:val="100"/>
              <w:marBottom w:val="100"/>
              <w:divBdr>
                <w:top w:val="none" w:sz="0" w:space="0" w:color="auto"/>
                <w:left w:val="none" w:sz="0" w:space="0" w:color="auto"/>
                <w:bottom w:val="none" w:sz="0" w:space="0" w:color="auto"/>
                <w:right w:val="none" w:sz="0" w:space="0" w:color="auto"/>
              </w:divBdr>
              <w:divsChild>
                <w:div w:id="1740399837">
                  <w:marLeft w:val="0"/>
                  <w:marRight w:val="0"/>
                  <w:marTop w:val="45"/>
                  <w:marBottom w:val="0"/>
                  <w:divBdr>
                    <w:top w:val="none" w:sz="0" w:space="0" w:color="auto"/>
                    <w:left w:val="none" w:sz="0" w:space="0" w:color="auto"/>
                    <w:bottom w:val="none" w:sz="0" w:space="0" w:color="auto"/>
                    <w:right w:val="none" w:sz="0" w:space="0" w:color="auto"/>
                  </w:divBdr>
                  <w:divsChild>
                    <w:div w:id="161162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643447">
          <w:marLeft w:val="0"/>
          <w:marRight w:val="0"/>
          <w:marTop w:val="100"/>
          <w:marBottom w:val="100"/>
          <w:divBdr>
            <w:top w:val="none" w:sz="0" w:space="0" w:color="auto"/>
            <w:left w:val="none" w:sz="0" w:space="0" w:color="auto"/>
            <w:bottom w:val="none" w:sz="0" w:space="0" w:color="auto"/>
            <w:right w:val="none" w:sz="0" w:space="0" w:color="auto"/>
          </w:divBdr>
          <w:divsChild>
            <w:div w:id="1983196343">
              <w:marLeft w:val="0"/>
              <w:marRight w:val="0"/>
              <w:marTop w:val="0"/>
              <w:marBottom w:val="150"/>
              <w:divBdr>
                <w:top w:val="none" w:sz="0" w:space="0" w:color="auto"/>
                <w:left w:val="none" w:sz="0" w:space="0" w:color="auto"/>
                <w:bottom w:val="none" w:sz="0" w:space="0" w:color="auto"/>
                <w:right w:val="none" w:sz="0" w:space="0" w:color="auto"/>
              </w:divBdr>
              <w:divsChild>
                <w:div w:id="1765497318">
                  <w:marLeft w:val="0"/>
                  <w:marRight w:val="0"/>
                  <w:marTop w:val="0"/>
                  <w:marBottom w:val="0"/>
                  <w:divBdr>
                    <w:top w:val="none" w:sz="0" w:space="0" w:color="auto"/>
                    <w:left w:val="none" w:sz="0" w:space="0" w:color="auto"/>
                    <w:bottom w:val="none" w:sz="0" w:space="0" w:color="auto"/>
                    <w:right w:val="none" w:sz="0" w:space="0" w:color="auto"/>
                  </w:divBdr>
                </w:div>
                <w:div w:id="57704210">
                  <w:marLeft w:val="0"/>
                  <w:marRight w:val="0"/>
                  <w:marTop w:val="0"/>
                  <w:marBottom w:val="0"/>
                  <w:divBdr>
                    <w:top w:val="none" w:sz="0" w:space="0" w:color="auto"/>
                    <w:left w:val="none" w:sz="0" w:space="0" w:color="auto"/>
                    <w:bottom w:val="none" w:sz="0" w:space="0" w:color="auto"/>
                    <w:right w:val="none" w:sz="0" w:space="0" w:color="auto"/>
                  </w:divBdr>
                </w:div>
              </w:divsChild>
            </w:div>
            <w:div w:id="952057763">
              <w:marLeft w:val="0"/>
              <w:marRight w:val="0"/>
              <w:marTop w:val="0"/>
              <w:marBottom w:val="0"/>
              <w:divBdr>
                <w:top w:val="none" w:sz="0" w:space="0" w:color="auto"/>
                <w:left w:val="none" w:sz="0" w:space="0" w:color="auto"/>
                <w:bottom w:val="none" w:sz="0" w:space="0" w:color="auto"/>
                <w:right w:val="none" w:sz="0" w:space="0" w:color="auto"/>
              </w:divBdr>
              <w:divsChild>
                <w:div w:id="1669823114">
                  <w:marLeft w:val="150"/>
                  <w:marRight w:val="0"/>
                  <w:marTop w:val="0"/>
                  <w:marBottom w:val="150"/>
                  <w:divBdr>
                    <w:top w:val="none" w:sz="0" w:space="0" w:color="auto"/>
                    <w:left w:val="none" w:sz="0" w:space="0" w:color="auto"/>
                    <w:bottom w:val="none" w:sz="0" w:space="0" w:color="auto"/>
                    <w:right w:val="none" w:sz="0" w:space="0" w:color="auto"/>
                  </w:divBdr>
                  <w:divsChild>
                    <w:div w:id="1962033260">
                      <w:marLeft w:val="0"/>
                      <w:marRight w:val="0"/>
                      <w:marTop w:val="150"/>
                      <w:marBottom w:val="150"/>
                      <w:divBdr>
                        <w:top w:val="single" w:sz="6" w:space="4" w:color="DEDEDE"/>
                        <w:left w:val="single" w:sz="6" w:space="4" w:color="DEDEDE"/>
                        <w:bottom w:val="single" w:sz="6" w:space="4" w:color="DEDEDE"/>
                        <w:right w:val="single" w:sz="6" w:space="4" w:color="DEDEDE"/>
                      </w:divBdr>
                    </w:div>
                    <w:div w:id="1622951747">
                      <w:marLeft w:val="0"/>
                      <w:marRight w:val="0"/>
                      <w:marTop w:val="150"/>
                      <w:marBottom w:val="0"/>
                      <w:divBdr>
                        <w:top w:val="none" w:sz="0" w:space="0" w:color="auto"/>
                        <w:left w:val="none" w:sz="0" w:space="0" w:color="auto"/>
                        <w:bottom w:val="none" w:sz="0" w:space="0" w:color="auto"/>
                        <w:right w:val="none" w:sz="0" w:space="0" w:color="auto"/>
                      </w:divBdr>
                      <w:divsChild>
                        <w:div w:id="1517890335">
                          <w:marLeft w:val="0"/>
                          <w:marRight w:val="0"/>
                          <w:marTop w:val="0"/>
                          <w:marBottom w:val="0"/>
                          <w:divBdr>
                            <w:top w:val="none" w:sz="0" w:space="0" w:color="auto"/>
                            <w:left w:val="none" w:sz="0" w:space="0" w:color="auto"/>
                            <w:bottom w:val="none" w:sz="0" w:space="0" w:color="auto"/>
                            <w:right w:val="none" w:sz="0" w:space="0" w:color="auto"/>
                          </w:divBdr>
                          <w:divsChild>
                            <w:div w:id="1865365373">
                              <w:marLeft w:val="0"/>
                              <w:marRight w:val="0"/>
                              <w:marTop w:val="0"/>
                              <w:marBottom w:val="0"/>
                              <w:divBdr>
                                <w:top w:val="none" w:sz="0" w:space="0" w:color="auto"/>
                                <w:left w:val="none" w:sz="0" w:space="0" w:color="auto"/>
                                <w:bottom w:val="none" w:sz="0" w:space="0" w:color="auto"/>
                                <w:right w:val="none" w:sz="0" w:space="0" w:color="auto"/>
                              </w:divBdr>
                              <w:divsChild>
                                <w:div w:id="740371193">
                                  <w:marLeft w:val="0"/>
                                  <w:marRight w:val="0"/>
                                  <w:marTop w:val="0"/>
                                  <w:marBottom w:val="0"/>
                                  <w:divBdr>
                                    <w:top w:val="none" w:sz="0" w:space="0" w:color="auto"/>
                                    <w:left w:val="none" w:sz="0" w:space="0" w:color="auto"/>
                                    <w:bottom w:val="none" w:sz="0" w:space="0" w:color="auto"/>
                                    <w:right w:val="none" w:sz="0" w:space="0" w:color="auto"/>
                                  </w:divBdr>
                                  <w:divsChild>
                                    <w:div w:id="756094388">
                                      <w:marLeft w:val="0"/>
                                      <w:marRight w:val="0"/>
                                      <w:marTop w:val="0"/>
                                      <w:marBottom w:val="0"/>
                                      <w:divBdr>
                                        <w:top w:val="none" w:sz="0" w:space="0" w:color="auto"/>
                                        <w:left w:val="none" w:sz="0" w:space="0" w:color="auto"/>
                                        <w:bottom w:val="none" w:sz="0" w:space="0" w:color="auto"/>
                                        <w:right w:val="none" w:sz="0" w:space="0" w:color="auto"/>
                                      </w:divBdr>
                                      <w:divsChild>
                                        <w:div w:id="1545555928">
                                          <w:marLeft w:val="0"/>
                                          <w:marRight w:val="0"/>
                                          <w:marTop w:val="0"/>
                                          <w:marBottom w:val="0"/>
                                          <w:divBdr>
                                            <w:top w:val="none" w:sz="0" w:space="0" w:color="auto"/>
                                            <w:left w:val="none" w:sz="0" w:space="0" w:color="auto"/>
                                            <w:bottom w:val="none" w:sz="0" w:space="0" w:color="auto"/>
                                            <w:right w:val="none" w:sz="0" w:space="0" w:color="auto"/>
                                          </w:divBdr>
                                          <w:divsChild>
                                            <w:div w:id="203557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8118993">
              <w:marLeft w:val="375"/>
              <w:marRight w:val="375"/>
              <w:marTop w:val="375"/>
              <w:marBottom w:val="375"/>
              <w:divBdr>
                <w:top w:val="none" w:sz="0" w:space="0" w:color="auto"/>
                <w:left w:val="none" w:sz="0" w:space="0" w:color="auto"/>
                <w:bottom w:val="none" w:sz="0" w:space="0" w:color="auto"/>
                <w:right w:val="none" w:sz="0" w:space="0" w:color="auto"/>
              </w:divBdr>
              <w:divsChild>
                <w:div w:id="1432433082">
                  <w:marLeft w:val="0"/>
                  <w:marRight w:val="0"/>
                  <w:marTop w:val="0"/>
                  <w:marBottom w:val="0"/>
                  <w:divBdr>
                    <w:top w:val="none" w:sz="0" w:space="0" w:color="auto"/>
                    <w:left w:val="none" w:sz="0" w:space="0" w:color="auto"/>
                    <w:bottom w:val="none" w:sz="0" w:space="0" w:color="auto"/>
                    <w:right w:val="none" w:sz="0" w:space="0" w:color="auto"/>
                  </w:divBdr>
                  <w:divsChild>
                    <w:div w:id="1444182437">
                      <w:marLeft w:val="0"/>
                      <w:marRight w:val="0"/>
                      <w:marTop w:val="0"/>
                      <w:marBottom w:val="0"/>
                      <w:divBdr>
                        <w:top w:val="none" w:sz="0" w:space="0" w:color="auto"/>
                        <w:left w:val="none" w:sz="0" w:space="0" w:color="auto"/>
                        <w:bottom w:val="none" w:sz="0" w:space="0" w:color="auto"/>
                        <w:right w:val="none" w:sz="0" w:space="0" w:color="auto"/>
                      </w:divBdr>
                      <w:divsChild>
                        <w:div w:id="14759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ConferenzNZ" TargetMode="External"/><Relationship Id="rId13" Type="http://schemas.openxmlformats.org/officeDocument/2006/relationships/hyperlink" Target="http://www.conferenz.co.nz/" TargetMode="External"/><Relationship Id="rId18" Type="http://schemas.openxmlformats.org/officeDocument/2006/relationships/hyperlink" Target="http://www.conferenz.co.nz/training" TargetMode="External"/><Relationship Id="rId26" Type="http://schemas.openxmlformats.org/officeDocument/2006/relationships/hyperlink" Target="http://www.conferenz.co.nz/about-us/our-team" TargetMode="External"/><Relationship Id="rId39" Type="http://schemas.openxmlformats.org/officeDocument/2006/relationships/hyperlink" Target="http://s12649.gridserver.com/www.ssc.govt.nz/upload/downloadable_files/Report-SSCer-Setchell.pdf" TargetMode="External"/><Relationship Id="rId3" Type="http://schemas.openxmlformats.org/officeDocument/2006/relationships/settings" Target="settings.xml"/><Relationship Id="rId21" Type="http://schemas.openxmlformats.org/officeDocument/2006/relationships/hyperlink" Target="http://www.conferenz.co.nz/conferences/download-documentation" TargetMode="External"/><Relationship Id="rId34" Type="http://schemas.openxmlformats.org/officeDocument/2006/relationships/hyperlink" Target="http://www.conferenz.co.nz/whitepapers" TargetMode="External"/><Relationship Id="rId42" Type="http://schemas.openxmlformats.org/officeDocument/2006/relationships/fontTable" Target="fontTable.xml"/><Relationship Id="rId7" Type="http://schemas.openxmlformats.org/officeDocument/2006/relationships/hyperlink" Target="https://www.facebook.com/conferenz" TargetMode="External"/><Relationship Id="rId12" Type="http://schemas.openxmlformats.org/officeDocument/2006/relationships/control" Target="activeX/activeX1.xml"/><Relationship Id="rId17" Type="http://schemas.openxmlformats.org/officeDocument/2006/relationships/hyperlink" Target="http://www.conferenz.co.nz/conferences" TargetMode="External"/><Relationship Id="rId25" Type="http://schemas.openxmlformats.org/officeDocument/2006/relationships/hyperlink" Target="http://www.conferenz.co.nz/about-us/contact-us" TargetMode="External"/><Relationship Id="rId33" Type="http://schemas.openxmlformats.org/officeDocument/2006/relationships/hyperlink" Target="http://www.conferenz.co.nz/" TargetMode="External"/><Relationship Id="rId38" Type="http://schemas.openxmlformats.org/officeDocument/2006/relationships/hyperlink" Target="http://www.nzherald.co.nz/nz-election-2008/news/article.cfm?c_id=1501799&amp;objectid=10538512&amp;pnum=0" TargetMode="External"/><Relationship Id="rId2" Type="http://schemas.openxmlformats.org/officeDocument/2006/relationships/styles" Target="styles.xml"/><Relationship Id="rId16" Type="http://schemas.openxmlformats.org/officeDocument/2006/relationships/hyperlink" Target="http://www.conferenz.co.nz/events" TargetMode="External"/><Relationship Id="rId20" Type="http://schemas.openxmlformats.org/officeDocument/2006/relationships/hyperlink" Target="http://www.conferenz.co.nz/sponsorship" TargetMode="External"/><Relationship Id="rId29" Type="http://schemas.openxmlformats.org/officeDocument/2006/relationships/hyperlink" Target="http://www.conferenz.co.nz/about-us/customer-service" TargetMode="External"/><Relationship Id="rId41" Type="http://schemas.openxmlformats.org/officeDocument/2006/relationships/hyperlink" Target="http://www.treasury.govt.nz/publications/guidance/budget/process/overview/bud-proc-overview08.pdf" TargetMode="External"/><Relationship Id="rId1" Type="http://schemas.openxmlformats.org/officeDocument/2006/relationships/numbering" Target="numbering.xml"/><Relationship Id="rId6" Type="http://schemas.openxmlformats.org/officeDocument/2006/relationships/hyperlink" Target="https://www.twitter.com/Conferenz" TargetMode="External"/><Relationship Id="rId11" Type="http://schemas.openxmlformats.org/officeDocument/2006/relationships/image" Target="media/image1.wmf"/><Relationship Id="rId24" Type="http://schemas.openxmlformats.org/officeDocument/2006/relationships/hyperlink" Target="http://www.conferenz.co.nz/about-us" TargetMode="External"/><Relationship Id="rId32" Type="http://schemas.openxmlformats.org/officeDocument/2006/relationships/hyperlink" Target="http://www.conferenz.co.nz/about-us/contact-us" TargetMode="External"/><Relationship Id="rId37" Type="http://schemas.openxmlformats.org/officeDocument/2006/relationships/hyperlink" Target="http://www.national.org.nz/Article.aspx?ArticleID=28577" TargetMode="External"/><Relationship Id="rId40" Type="http://schemas.openxmlformats.org/officeDocument/2006/relationships/hyperlink" Target="http://www.ssc.govt.nz/display/document.asp?DocID=6545" TargetMode="External"/><Relationship Id="rId5" Type="http://schemas.openxmlformats.org/officeDocument/2006/relationships/hyperlink" Target="http://www.linkedin.com/companies/Conferenz" TargetMode="External"/><Relationship Id="rId15" Type="http://schemas.openxmlformats.org/officeDocument/2006/relationships/hyperlink" Target="http://www.conferenz.co.nz/" TargetMode="External"/><Relationship Id="rId23" Type="http://schemas.openxmlformats.org/officeDocument/2006/relationships/hyperlink" Target="http://www.conferenz.co.nz/resources" TargetMode="External"/><Relationship Id="rId28" Type="http://schemas.openxmlformats.org/officeDocument/2006/relationships/hyperlink" Target="http://www.conferenz.co.nz/about-us/your-cpd-partner" TargetMode="External"/><Relationship Id="rId36" Type="http://schemas.openxmlformats.org/officeDocument/2006/relationships/hyperlink" Target="http://www.nzherald.co.nz/nz/news/article.cfm?c_id=1&amp;objectid=10545999" TargetMode="External"/><Relationship Id="rId10" Type="http://schemas.openxmlformats.org/officeDocument/2006/relationships/hyperlink" Target="http://www.conferenz.co.nz/blog" TargetMode="External"/><Relationship Id="rId19" Type="http://schemas.openxmlformats.org/officeDocument/2006/relationships/hyperlink" Target="http://www.conferenz.co.nz/inhouse" TargetMode="External"/><Relationship Id="rId31" Type="http://schemas.openxmlformats.org/officeDocument/2006/relationships/hyperlink" Target="http://www.conferenz.co.nz/about-us/working-with-us" TargetMode="External"/><Relationship Id="rId4" Type="http://schemas.openxmlformats.org/officeDocument/2006/relationships/webSettings" Target="webSettings.xml"/><Relationship Id="rId9" Type="http://schemas.openxmlformats.org/officeDocument/2006/relationships/hyperlink" Target="https://plus.google.com/u/0/108192849149135763079" TargetMode="External"/><Relationship Id="rId14" Type="http://schemas.openxmlformats.org/officeDocument/2006/relationships/image" Target="media/image2.png"/><Relationship Id="rId22" Type="http://schemas.openxmlformats.org/officeDocument/2006/relationships/hyperlink" Target="http://www.conferenz.co.nz/events/email-alerts" TargetMode="External"/><Relationship Id="rId27" Type="http://schemas.openxmlformats.org/officeDocument/2006/relationships/hyperlink" Target="http://www.conferenz.co.nz/about-us/community-and-environment" TargetMode="External"/><Relationship Id="rId30" Type="http://schemas.openxmlformats.org/officeDocument/2006/relationships/hyperlink" Target="http://www.conferenz.co.nz/about-us/speaking-at-an-event" TargetMode="External"/><Relationship Id="rId35" Type="http://schemas.openxmlformats.org/officeDocument/2006/relationships/hyperlink" Target="http://www.beehive.govt.nz/release/social+development+bim+release" TargetMode="External"/><Relationship Id="rId43"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37680</Words>
  <Characters>21478</Characters>
  <Application>Microsoft Office Word</Application>
  <DocSecurity>0</DocSecurity>
  <Lines>178</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 Pukis</dc:creator>
  <cp:keywords/>
  <dc:description/>
  <cp:lastModifiedBy>Maris Pukis</cp:lastModifiedBy>
  <cp:revision>1</cp:revision>
  <dcterms:created xsi:type="dcterms:W3CDTF">2014-01-05T17:11:00Z</dcterms:created>
  <dcterms:modified xsi:type="dcterms:W3CDTF">2014-01-05T17:13:00Z</dcterms:modified>
</cp:coreProperties>
</file>